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D46" w:rsidRDefault="00172418" w:rsidP="00192137">
      <w:pPr>
        <w:spacing w:line="240" w:lineRule="auto"/>
        <w:contextualSpacing/>
        <w:rPr>
          <w:rFonts w:ascii="Tw Cen MT" w:hAnsi="Tw Cen MT"/>
          <w:b/>
          <w:color w:val="FF0000"/>
          <w:sz w:val="24"/>
          <w:szCs w:val="28"/>
        </w:rPr>
      </w:pPr>
      <w:r>
        <w:rPr>
          <w:rFonts w:ascii="Tw Cen MT" w:hAnsi="Tw Cen MT"/>
          <w:b/>
          <w:noProof/>
          <w:color w:val="FF0000"/>
          <w:sz w:val="24"/>
          <w:szCs w:val="28"/>
        </w:rPr>
        <w:pict>
          <v:shapetype id="_x0000_t202" coordsize="21600,21600" o:spt="202" path="m,l,21600r21600,l21600,xe">
            <v:stroke joinstyle="miter"/>
            <v:path gradientshapeok="t" o:connecttype="rect"/>
          </v:shapetype>
          <v:shape id="_x0000_s1026" type="#_x0000_t202" style="position:absolute;margin-left:36pt;margin-top:12.75pt;width:523.3pt;height:87pt;z-index:251660288;mso-position-horizontal-relative:page;mso-position-vertical-relative:page;mso-width-relative:margin;mso-height-relative:margin" stroked="f">
            <v:fill opacity="0"/>
            <v:textbox style="mso-next-textbox:#_x0000_s1026" inset="0,0,0,0">
              <w:txbxContent>
                <w:p w:rsidR="00E53D46" w:rsidRPr="00BD714E" w:rsidRDefault="00E53D46" w:rsidP="00E53D46">
                  <w:pPr>
                    <w:spacing w:line="240" w:lineRule="auto"/>
                    <w:contextualSpacing/>
                    <w:jc w:val="right"/>
                    <w:rPr>
                      <w:rFonts w:ascii="Tw Cen MT" w:hAnsi="Tw Cen MT"/>
                      <w:b/>
                      <w:color w:val="FF0000"/>
                      <w:sz w:val="52"/>
                      <w:szCs w:val="56"/>
                    </w:rPr>
                  </w:pPr>
                  <w:r w:rsidRPr="00BD714E">
                    <w:rPr>
                      <w:rFonts w:ascii="Tw Cen MT" w:hAnsi="Tw Cen MT"/>
                      <w:b/>
                      <w:color w:val="FF0000"/>
                      <w:sz w:val="56"/>
                      <w:szCs w:val="56"/>
                    </w:rPr>
                    <w:t>Don Bosco Badminton Nantes</w:t>
                  </w:r>
                </w:p>
                <w:p w:rsidR="00E53D46" w:rsidRPr="00BD714E" w:rsidRDefault="00E53D46" w:rsidP="00E53D46">
                  <w:pPr>
                    <w:spacing w:line="240" w:lineRule="auto"/>
                    <w:contextualSpacing/>
                    <w:jc w:val="right"/>
                    <w:rPr>
                      <w:rFonts w:ascii="Tw Cen MT" w:hAnsi="Tw Cen MT"/>
                      <w:b/>
                      <w:i/>
                      <w:sz w:val="32"/>
                      <w:szCs w:val="28"/>
                    </w:rPr>
                  </w:pPr>
                  <w:r w:rsidRPr="00BD714E">
                    <w:rPr>
                      <w:rFonts w:ascii="Tw Cen MT" w:hAnsi="Tw Cen MT"/>
                      <w:b/>
                      <w:i/>
                      <w:sz w:val="32"/>
                      <w:szCs w:val="28"/>
                    </w:rPr>
                    <w:t xml:space="preserve">Tournoi de Doubles </w:t>
                  </w:r>
                  <w:r w:rsidR="007E2C2A">
                    <w:rPr>
                      <w:rFonts w:ascii="Tw Cen MT" w:hAnsi="Tw Cen MT"/>
                      <w:b/>
                      <w:i/>
                      <w:sz w:val="32"/>
                      <w:szCs w:val="28"/>
                    </w:rPr>
                    <w:t xml:space="preserve">et Mixte </w:t>
                  </w:r>
                  <w:r w:rsidR="005B15AF" w:rsidRPr="00BD714E">
                    <w:rPr>
                      <w:rFonts w:ascii="Tw Cen MT" w:hAnsi="Tw Cen MT"/>
                      <w:b/>
                      <w:i/>
                      <w:sz w:val="32"/>
                      <w:szCs w:val="28"/>
                    </w:rPr>
                    <w:t>Vétéran</w:t>
                  </w:r>
                  <w:r w:rsidR="007B5340">
                    <w:rPr>
                      <w:rFonts w:ascii="Tw Cen MT" w:hAnsi="Tw Cen MT"/>
                      <w:b/>
                      <w:i/>
                      <w:sz w:val="32"/>
                      <w:szCs w:val="28"/>
                    </w:rPr>
                    <w:t>s</w:t>
                  </w:r>
                </w:p>
                <w:p w:rsidR="00BD714E" w:rsidRPr="00BD714E" w:rsidRDefault="007E2C2A" w:rsidP="00E53D46">
                  <w:pPr>
                    <w:spacing w:line="240" w:lineRule="auto"/>
                    <w:contextualSpacing/>
                    <w:jc w:val="right"/>
                    <w:rPr>
                      <w:rFonts w:ascii="Tw Cen MT" w:hAnsi="Tw Cen MT"/>
                      <w:b/>
                      <w:i/>
                      <w:sz w:val="32"/>
                      <w:szCs w:val="28"/>
                    </w:rPr>
                  </w:pPr>
                  <w:r>
                    <w:rPr>
                      <w:rFonts w:ascii="Tw Cen MT" w:hAnsi="Tw Cen MT"/>
                      <w:b/>
                      <w:i/>
                      <w:sz w:val="32"/>
                      <w:szCs w:val="28"/>
                    </w:rPr>
                    <w:t>1er</w:t>
                  </w:r>
                  <w:r w:rsidR="00BD714E" w:rsidRPr="00BD714E">
                    <w:rPr>
                      <w:rFonts w:ascii="Tw Cen MT" w:hAnsi="Tw Cen MT"/>
                      <w:b/>
                      <w:i/>
                      <w:sz w:val="32"/>
                      <w:szCs w:val="28"/>
                    </w:rPr>
                    <w:t xml:space="preserve"> Novembre 201</w:t>
                  </w:r>
                  <w:r w:rsidR="00B75676">
                    <w:rPr>
                      <w:rFonts w:ascii="Tw Cen MT" w:hAnsi="Tw Cen MT"/>
                      <w:b/>
                      <w:i/>
                      <w:sz w:val="32"/>
                      <w:szCs w:val="28"/>
                    </w:rPr>
                    <w:t>4</w:t>
                  </w:r>
                </w:p>
                <w:p w:rsidR="00E53D46" w:rsidRPr="00686220" w:rsidRDefault="00EA4DD2" w:rsidP="00EA4DD2">
                  <w:pPr>
                    <w:spacing w:line="240" w:lineRule="auto"/>
                    <w:contextualSpacing/>
                    <w:jc w:val="right"/>
                    <w:rPr>
                      <w:rFonts w:ascii="Tw Cen MT" w:hAnsi="Tw Cen MT"/>
                      <w:sz w:val="18"/>
                      <w:szCs w:val="18"/>
                    </w:rPr>
                  </w:pPr>
                  <w:r>
                    <w:t xml:space="preserve">N° </w:t>
                  </w:r>
                  <w:r>
                    <w:t>14.PL.44/</w:t>
                  </w:r>
                  <w:proofErr w:type="spellStart"/>
                  <w:r>
                    <w:t>Ti.L.V</w:t>
                  </w:r>
                  <w:proofErr w:type="spellEnd"/>
                  <w:r>
                    <w:t>/002</w:t>
                  </w:r>
                </w:p>
              </w:txbxContent>
            </v:textbox>
            <w10:wrap anchorx="page" anchory="page"/>
          </v:shape>
        </w:pict>
      </w:r>
    </w:p>
    <w:p w:rsidR="00E53D46" w:rsidRDefault="00E53D46" w:rsidP="00192137">
      <w:pPr>
        <w:pStyle w:val="Paragraphedeliste"/>
        <w:spacing w:line="240" w:lineRule="auto"/>
        <w:rPr>
          <w:rFonts w:ascii="Tw Cen MT" w:hAnsi="Tw Cen MT"/>
          <w:b/>
          <w:color w:val="FF0000"/>
          <w:sz w:val="24"/>
          <w:szCs w:val="28"/>
        </w:rPr>
      </w:pPr>
    </w:p>
    <w:p w:rsidR="00E53D46" w:rsidRDefault="00E53D46" w:rsidP="00192137">
      <w:pPr>
        <w:pStyle w:val="Paragraphedeliste"/>
        <w:spacing w:line="240" w:lineRule="auto"/>
        <w:rPr>
          <w:rFonts w:ascii="Tw Cen MT" w:hAnsi="Tw Cen MT"/>
          <w:b/>
          <w:color w:val="FF0000"/>
          <w:sz w:val="24"/>
          <w:szCs w:val="28"/>
        </w:rPr>
      </w:pPr>
    </w:p>
    <w:p w:rsidR="00E53D46" w:rsidRDefault="00E53D46" w:rsidP="00192137">
      <w:pPr>
        <w:pStyle w:val="Paragraphedeliste"/>
        <w:spacing w:line="240" w:lineRule="auto"/>
        <w:rPr>
          <w:rFonts w:ascii="Tw Cen MT" w:hAnsi="Tw Cen MT"/>
          <w:b/>
          <w:color w:val="FF0000"/>
          <w:sz w:val="24"/>
          <w:szCs w:val="28"/>
        </w:rPr>
      </w:pPr>
    </w:p>
    <w:p w:rsidR="00E53D46" w:rsidRDefault="00E53D46" w:rsidP="00192137">
      <w:pPr>
        <w:pStyle w:val="Paragraphedeliste"/>
        <w:spacing w:line="240" w:lineRule="auto"/>
        <w:rPr>
          <w:rFonts w:ascii="Tw Cen MT" w:hAnsi="Tw Cen MT"/>
          <w:b/>
          <w:color w:val="FF0000"/>
          <w:sz w:val="24"/>
          <w:szCs w:val="28"/>
        </w:rPr>
      </w:pPr>
    </w:p>
    <w:p w:rsidR="00661B80" w:rsidRPr="00661B80" w:rsidRDefault="00661B80" w:rsidP="00192137">
      <w:pPr>
        <w:pStyle w:val="Paragraphedeliste"/>
        <w:numPr>
          <w:ilvl w:val="0"/>
          <w:numId w:val="1"/>
        </w:numPr>
        <w:spacing w:line="240" w:lineRule="auto"/>
        <w:rPr>
          <w:rFonts w:ascii="Tw Cen MT" w:hAnsi="Tw Cen MT"/>
          <w:b/>
          <w:color w:val="FF0000"/>
          <w:sz w:val="24"/>
          <w:szCs w:val="28"/>
        </w:rPr>
      </w:pPr>
      <w:r w:rsidRPr="00661B80">
        <w:rPr>
          <w:rFonts w:ascii="Tw Cen MT" w:hAnsi="Tw Cen MT"/>
          <w:b/>
          <w:color w:val="FF0000"/>
          <w:sz w:val="24"/>
          <w:szCs w:val="28"/>
        </w:rPr>
        <w:t>Lieu</w:t>
      </w:r>
    </w:p>
    <w:p w:rsidR="00661B80" w:rsidRDefault="00570813" w:rsidP="00192137">
      <w:pPr>
        <w:spacing w:line="240" w:lineRule="auto"/>
        <w:contextualSpacing/>
        <w:rPr>
          <w:rFonts w:ascii="Tw Cen MT" w:hAnsi="Tw Cen MT"/>
          <w:sz w:val="24"/>
          <w:szCs w:val="28"/>
        </w:rPr>
      </w:pPr>
      <w:r>
        <w:rPr>
          <w:rFonts w:ascii="Tw Cen MT" w:hAnsi="Tw Cen MT"/>
          <w:sz w:val="24"/>
          <w:szCs w:val="28"/>
        </w:rPr>
        <w:t>Salle</w:t>
      </w:r>
      <w:r w:rsidR="00661B80" w:rsidRPr="00661B80">
        <w:rPr>
          <w:rFonts w:ascii="Tw Cen MT" w:hAnsi="Tw Cen MT"/>
          <w:sz w:val="24"/>
          <w:szCs w:val="28"/>
        </w:rPr>
        <w:t xml:space="preserve"> de Don Bosco Sport Nantes </w:t>
      </w:r>
      <w:r w:rsidR="00E12936">
        <w:rPr>
          <w:rFonts w:ascii="Tw Cen MT" w:hAnsi="Tw Cen MT"/>
          <w:sz w:val="24"/>
          <w:szCs w:val="28"/>
        </w:rPr>
        <w:t>(7</w:t>
      </w:r>
      <w:r w:rsidR="00BD714E">
        <w:rPr>
          <w:rFonts w:ascii="Tw Cen MT" w:hAnsi="Tw Cen MT"/>
          <w:sz w:val="24"/>
          <w:szCs w:val="28"/>
        </w:rPr>
        <w:t xml:space="preserve"> terrains</w:t>
      </w:r>
      <w:r w:rsidR="00E12936">
        <w:rPr>
          <w:rFonts w:ascii="Tw Cen MT" w:hAnsi="Tw Cen MT"/>
          <w:sz w:val="24"/>
          <w:szCs w:val="28"/>
        </w:rPr>
        <w:t xml:space="preserve"> + 1 d’echauffement</w:t>
      </w:r>
      <w:r w:rsidR="00BD714E">
        <w:rPr>
          <w:rFonts w:ascii="Tw Cen MT" w:hAnsi="Tw Cen MT"/>
          <w:sz w:val="24"/>
          <w:szCs w:val="28"/>
        </w:rPr>
        <w:t xml:space="preserve">) </w:t>
      </w:r>
      <w:r w:rsidR="00661B80" w:rsidRPr="00661B80">
        <w:rPr>
          <w:rFonts w:ascii="Tw Cen MT" w:hAnsi="Tw Cen MT"/>
          <w:sz w:val="24"/>
          <w:szCs w:val="28"/>
        </w:rPr>
        <w:t xml:space="preserve">– Rue du stade de la Noue 44300 NANTES </w:t>
      </w:r>
      <w:r w:rsidR="00661B80" w:rsidRPr="00661B80">
        <w:rPr>
          <w:rFonts w:ascii="Tw Cen MT" w:hAnsi="Tw Cen MT"/>
          <w:sz w:val="24"/>
          <w:szCs w:val="28"/>
        </w:rPr>
        <w:cr/>
        <w:t>(Quartier de l’</w:t>
      </w:r>
      <w:proofErr w:type="spellStart"/>
      <w:r w:rsidR="00661B80" w:rsidRPr="00661B80">
        <w:rPr>
          <w:rFonts w:ascii="Tw Cen MT" w:hAnsi="Tw Cen MT"/>
          <w:sz w:val="24"/>
          <w:szCs w:val="28"/>
        </w:rPr>
        <w:t>Éraudière</w:t>
      </w:r>
      <w:proofErr w:type="spellEnd"/>
      <w:r w:rsidR="00661B80" w:rsidRPr="00661B80">
        <w:rPr>
          <w:rFonts w:ascii="Tw Cen MT" w:hAnsi="Tw Cen MT"/>
          <w:sz w:val="24"/>
          <w:szCs w:val="28"/>
        </w:rPr>
        <w:t>, près de l’Intermarché)</w:t>
      </w:r>
    </w:p>
    <w:p w:rsidR="00661B80" w:rsidRPr="00661B80" w:rsidRDefault="00661B80" w:rsidP="00192137">
      <w:pPr>
        <w:pStyle w:val="Paragraphedeliste"/>
        <w:numPr>
          <w:ilvl w:val="0"/>
          <w:numId w:val="1"/>
        </w:numPr>
        <w:spacing w:line="240" w:lineRule="auto"/>
        <w:rPr>
          <w:rFonts w:ascii="Tw Cen MT" w:hAnsi="Tw Cen MT"/>
          <w:b/>
          <w:color w:val="FF0000"/>
          <w:sz w:val="24"/>
          <w:szCs w:val="28"/>
        </w:rPr>
      </w:pPr>
      <w:r w:rsidRPr="00661B80">
        <w:rPr>
          <w:rFonts w:ascii="Tw Cen MT" w:hAnsi="Tw Cen MT"/>
          <w:b/>
          <w:color w:val="FF0000"/>
          <w:sz w:val="24"/>
          <w:szCs w:val="28"/>
        </w:rPr>
        <w:t xml:space="preserve">Tableaux </w:t>
      </w:r>
    </w:p>
    <w:p w:rsidR="00661B80" w:rsidRDefault="00661B80" w:rsidP="00192137">
      <w:pPr>
        <w:spacing w:line="240" w:lineRule="auto"/>
        <w:contextualSpacing/>
        <w:jc w:val="both"/>
        <w:rPr>
          <w:rFonts w:ascii="Tw Cen MT" w:hAnsi="Tw Cen MT"/>
          <w:sz w:val="24"/>
          <w:szCs w:val="28"/>
        </w:rPr>
      </w:pPr>
      <w:r w:rsidRPr="00661B80">
        <w:rPr>
          <w:rFonts w:ascii="Tw Cen MT" w:hAnsi="Tw Cen MT"/>
          <w:sz w:val="24"/>
          <w:szCs w:val="28"/>
        </w:rPr>
        <w:t xml:space="preserve">Ce tournoi </w:t>
      </w:r>
      <w:r w:rsidR="005B15AF">
        <w:rPr>
          <w:rFonts w:ascii="Tw Cen MT" w:hAnsi="Tw Cen MT"/>
          <w:sz w:val="24"/>
          <w:szCs w:val="28"/>
        </w:rPr>
        <w:t>Inter-régional</w:t>
      </w:r>
      <w:r w:rsidRPr="00661B80">
        <w:rPr>
          <w:rFonts w:ascii="Tw Cen MT" w:hAnsi="Tw Cen MT"/>
          <w:sz w:val="24"/>
          <w:szCs w:val="28"/>
        </w:rPr>
        <w:t xml:space="preserve"> de Doubles </w:t>
      </w:r>
      <w:r w:rsidR="005B15AF">
        <w:rPr>
          <w:rFonts w:ascii="Tw Cen MT" w:hAnsi="Tw Cen MT"/>
          <w:sz w:val="24"/>
          <w:szCs w:val="28"/>
        </w:rPr>
        <w:t>Vétérans</w:t>
      </w:r>
      <w:r w:rsidRPr="00661B80">
        <w:rPr>
          <w:rFonts w:ascii="Tw Cen MT" w:hAnsi="Tw Cen MT"/>
          <w:sz w:val="24"/>
          <w:szCs w:val="28"/>
        </w:rPr>
        <w:t xml:space="preserve"> est ouvert aux joueuses et joueurs autorisés à la </w:t>
      </w:r>
      <w:r>
        <w:rPr>
          <w:rFonts w:ascii="Tw Cen MT" w:hAnsi="Tw Cen MT"/>
          <w:sz w:val="24"/>
          <w:szCs w:val="28"/>
        </w:rPr>
        <w:t>c</w:t>
      </w:r>
      <w:r w:rsidRPr="00661B80">
        <w:rPr>
          <w:rFonts w:ascii="Tw Cen MT" w:hAnsi="Tw Cen MT"/>
          <w:sz w:val="24"/>
          <w:szCs w:val="28"/>
        </w:rPr>
        <w:t xml:space="preserve">ompétition (par la FFBaD) dans </w:t>
      </w:r>
      <w:r w:rsidR="005B15AF">
        <w:rPr>
          <w:rFonts w:ascii="Tw Cen MT" w:hAnsi="Tw Cen MT"/>
          <w:sz w:val="24"/>
          <w:szCs w:val="28"/>
        </w:rPr>
        <w:t>les catégories suivantes :</w:t>
      </w:r>
      <w:r w:rsidRPr="00661B80">
        <w:rPr>
          <w:rFonts w:ascii="Tw Cen MT" w:hAnsi="Tw Cen MT"/>
          <w:sz w:val="24"/>
          <w:szCs w:val="28"/>
        </w:rPr>
        <w:t xml:space="preserve"> </w:t>
      </w:r>
    </w:p>
    <w:p w:rsidR="00661B80" w:rsidRDefault="00661B80" w:rsidP="00192137">
      <w:pPr>
        <w:spacing w:line="240" w:lineRule="auto"/>
        <w:contextualSpacing/>
        <w:jc w:val="both"/>
        <w:rPr>
          <w:rFonts w:ascii="Tw Cen MT" w:hAnsi="Tw Cen MT"/>
          <w:sz w:val="24"/>
          <w:szCs w:val="28"/>
        </w:rPr>
      </w:pPr>
    </w:p>
    <w:p w:rsidR="00BD714E" w:rsidRDefault="00BD714E" w:rsidP="00192137">
      <w:pPr>
        <w:spacing w:line="240" w:lineRule="auto"/>
        <w:contextualSpacing/>
        <w:jc w:val="center"/>
        <w:rPr>
          <w:rFonts w:ascii="Tw Cen MT" w:hAnsi="Tw Cen MT"/>
          <w:b/>
          <w:color w:val="FF0000"/>
          <w:sz w:val="24"/>
          <w:szCs w:val="28"/>
        </w:rPr>
      </w:pPr>
      <w:r>
        <w:rPr>
          <w:rFonts w:ascii="Tw Cen MT" w:hAnsi="Tw Cen MT"/>
          <w:b/>
          <w:color w:val="FF0000"/>
          <w:sz w:val="24"/>
          <w:szCs w:val="28"/>
        </w:rPr>
        <w:t>Vétérans</w:t>
      </w:r>
    </w:p>
    <w:p w:rsidR="00C64A6C" w:rsidRDefault="00473F9F" w:rsidP="00192137">
      <w:pPr>
        <w:spacing w:line="240" w:lineRule="auto"/>
        <w:contextualSpacing/>
        <w:jc w:val="center"/>
        <w:rPr>
          <w:rFonts w:ascii="Tw Cen MT" w:hAnsi="Tw Cen MT"/>
          <w:sz w:val="24"/>
          <w:szCs w:val="28"/>
        </w:rPr>
      </w:pPr>
      <w:r>
        <w:rPr>
          <w:rFonts w:ascii="Tw Cen MT" w:hAnsi="Tw Cen MT"/>
          <w:sz w:val="24"/>
          <w:szCs w:val="28"/>
        </w:rPr>
        <w:t>Séparées</w:t>
      </w:r>
      <w:r w:rsidR="00C64A6C">
        <w:rPr>
          <w:rFonts w:ascii="Tw Cen MT" w:hAnsi="Tw Cen MT"/>
          <w:sz w:val="24"/>
          <w:szCs w:val="28"/>
        </w:rPr>
        <w:t xml:space="preserve"> en </w:t>
      </w:r>
      <w:r w:rsidR="007E2C2A">
        <w:rPr>
          <w:rFonts w:ascii="Tw Cen MT" w:hAnsi="Tw Cen MT"/>
          <w:sz w:val="24"/>
          <w:szCs w:val="28"/>
        </w:rPr>
        <w:t>NC-</w:t>
      </w:r>
      <w:r w:rsidR="004E27CF">
        <w:rPr>
          <w:rFonts w:ascii="Tw Cen MT" w:hAnsi="Tw Cen MT"/>
          <w:sz w:val="24"/>
          <w:szCs w:val="28"/>
        </w:rPr>
        <w:t>D</w:t>
      </w:r>
      <w:r w:rsidR="007E2C2A">
        <w:rPr>
          <w:rFonts w:ascii="Tw Cen MT" w:hAnsi="Tw Cen MT"/>
          <w:sz w:val="24"/>
          <w:szCs w:val="28"/>
        </w:rPr>
        <w:t>4</w:t>
      </w:r>
      <w:r w:rsidR="00C64A6C">
        <w:rPr>
          <w:rFonts w:ascii="Tw Cen MT" w:hAnsi="Tw Cen MT"/>
          <w:sz w:val="24"/>
          <w:szCs w:val="28"/>
        </w:rPr>
        <w:t xml:space="preserve"> </w:t>
      </w:r>
      <w:r w:rsidR="00157C9B">
        <w:rPr>
          <w:rFonts w:ascii="Tw Cen MT" w:hAnsi="Tw Cen MT"/>
          <w:sz w:val="24"/>
          <w:szCs w:val="28"/>
        </w:rPr>
        <w:t>/</w:t>
      </w:r>
      <w:r w:rsidR="00C64A6C">
        <w:rPr>
          <w:rFonts w:ascii="Tw Cen MT" w:hAnsi="Tw Cen MT"/>
          <w:sz w:val="24"/>
          <w:szCs w:val="28"/>
        </w:rPr>
        <w:t xml:space="preserve"> </w:t>
      </w:r>
      <w:r w:rsidR="007E2C2A">
        <w:rPr>
          <w:rFonts w:ascii="Tw Cen MT" w:hAnsi="Tw Cen MT"/>
          <w:sz w:val="24"/>
          <w:szCs w:val="28"/>
        </w:rPr>
        <w:t xml:space="preserve">D3-D2-D1/ </w:t>
      </w:r>
      <w:r w:rsidR="004E27CF">
        <w:rPr>
          <w:rFonts w:ascii="Tw Cen MT" w:hAnsi="Tw Cen MT"/>
          <w:sz w:val="24"/>
          <w:szCs w:val="28"/>
        </w:rPr>
        <w:t>C</w:t>
      </w:r>
    </w:p>
    <w:p w:rsidR="00661B80" w:rsidRDefault="00661B80" w:rsidP="00192137">
      <w:pPr>
        <w:spacing w:line="240" w:lineRule="auto"/>
        <w:contextualSpacing/>
        <w:jc w:val="center"/>
        <w:rPr>
          <w:rFonts w:ascii="Tw Cen MT" w:hAnsi="Tw Cen MT"/>
          <w:sz w:val="24"/>
          <w:szCs w:val="28"/>
        </w:rPr>
      </w:pPr>
    </w:p>
    <w:p w:rsidR="005B15AF" w:rsidRDefault="007E2C2A" w:rsidP="00192137">
      <w:pPr>
        <w:spacing w:line="240" w:lineRule="auto"/>
        <w:contextualSpacing/>
        <w:jc w:val="center"/>
        <w:rPr>
          <w:rFonts w:ascii="Tw Cen MT" w:hAnsi="Tw Cen MT"/>
          <w:sz w:val="24"/>
          <w:szCs w:val="28"/>
        </w:rPr>
      </w:pPr>
      <w:r>
        <w:rPr>
          <w:rFonts w:ascii="Tw Cen MT" w:hAnsi="Tw Cen MT"/>
          <w:sz w:val="24"/>
          <w:szCs w:val="28"/>
        </w:rPr>
        <w:t>Le samedi 1er</w:t>
      </w:r>
      <w:r w:rsidR="005B15AF">
        <w:rPr>
          <w:rFonts w:ascii="Tw Cen MT" w:hAnsi="Tw Cen MT"/>
          <w:sz w:val="24"/>
          <w:szCs w:val="28"/>
        </w:rPr>
        <w:t xml:space="preserve"> novembre se dérouleront les tableaux de Doubles </w:t>
      </w:r>
      <w:r>
        <w:rPr>
          <w:rFonts w:ascii="Tw Cen MT" w:hAnsi="Tw Cen MT"/>
          <w:sz w:val="24"/>
          <w:szCs w:val="28"/>
        </w:rPr>
        <w:t xml:space="preserve">et de Mixte </w:t>
      </w:r>
      <w:r w:rsidR="005B15AF">
        <w:rPr>
          <w:rFonts w:ascii="Tw Cen MT" w:hAnsi="Tw Cen MT"/>
          <w:sz w:val="24"/>
          <w:szCs w:val="28"/>
        </w:rPr>
        <w:t>Vétérans.</w:t>
      </w:r>
    </w:p>
    <w:p w:rsidR="005B15AF" w:rsidRDefault="005B15AF" w:rsidP="00192137">
      <w:pPr>
        <w:spacing w:line="240" w:lineRule="auto"/>
        <w:contextualSpacing/>
        <w:jc w:val="both"/>
        <w:rPr>
          <w:rFonts w:ascii="Tw Cen MT" w:hAnsi="Tw Cen MT"/>
          <w:sz w:val="24"/>
          <w:szCs w:val="28"/>
        </w:rPr>
      </w:pPr>
    </w:p>
    <w:p w:rsidR="00B36F64" w:rsidRPr="00993214" w:rsidRDefault="00B36F64" w:rsidP="00192137">
      <w:pPr>
        <w:spacing w:line="240" w:lineRule="auto"/>
        <w:contextualSpacing/>
        <w:jc w:val="both"/>
        <w:rPr>
          <w:rFonts w:ascii="Tw Cen MT" w:hAnsi="Tw Cen MT"/>
          <w:sz w:val="24"/>
          <w:szCs w:val="24"/>
        </w:rPr>
      </w:pPr>
    </w:p>
    <w:p w:rsidR="00B36F64" w:rsidRPr="00993214" w:rsidRDefault="007E2C2A" w:rsidP="00192137">
      <w:pPr>
        <w:spacing w:line="240" w:lineRule="auto"/>
        <w:contextualSpacing/>
        <w:jc w:val="both"/>
        <w:rPr>
          <w:rFonts w:ascii="Tw Cen MT" w:hAnsi="Tw Cen MT"/>
          <w:iCs/>
          <w:sz w:val="24"/>
          <w:szCs w:val="24"/>
        </w:rPr>
      </w:pPr>
      <w:r>
        <w:rPr>
          <w:rFonts w:ascii="Tw Cen MT" w:hAnsi="Tw Cen MT"/>
          <w:iCs/>
          <w:sz w:val="24"/>
          <w:szCs w:val="24"/>
        </w:rPr>
        <w:t>Convocation</w:t>
      </w:r>
      <w:r w:rsidR="00993214" w:rsidRPr="00993214">
        <w:rPr>
          <w:rFonts w:ascii="Tw Cen MT" w:hAnsi="Tw Cen MT"/>
          <w:iCs/>
          <w:sz w:val="24"/>
          <w:szCs w:val="24"/>
        </w:rPr>
        <w:t xml:space="preserve"> à partir de 8h00 (début des matchs à 8h30). Fin de </w:t>
      </w:r>
      <w:r>
        <w:rPr>
          <w:rFonts w:ascii="Tw Cen MT" w:hAnsi="Tw Cen MT"/>
          <w:iCs/>
          <w:sz w:val="24"/>
          <w:szCs w:val="24"/>
        </w:rPr>
        <w:t>la</w:t>
      </w:r>
      <w:r w:rsidR="00993214" w:rsidRPr="00993214">
        <w:rPr>
          <w:rFonts w:ascii="Tw Cen MT" w:hAnsi="Tw Cen MT"/>
          <w:iCs/>
          <w:sz w:val="24"/>
          <w:szCs w:val="24"/>
        </w:rPr>
        <w:t xml:space="preserve"> journée prévue au maximum à 19h00.</w:t>
      </w:r>
      <w:r w:rsidR="00993214">
        <w:rPr>
          <w:rFonts w:ascii="Tw Cen MT" w:hAnsi="Tw Cen MT"/>
          <w:iCs/>
          <w:sz w:val="24"/>
          <w:szCs w:val="24"/>
        </w:rPr>
        <w:t xml:space="preserve"> </w:t>
      </w:r>
      <w:r w:rsidR="00993214" w:rsidRPr="00993214">
        <w:rPr>
          <w:rFonts w:ascii="Tw Cen MT" w:hAnsi="Tw Cen MT"/>
          <w:iCs/>
          <w:sz w:val="24"/>
          <w:szCs w:val="24"/>
        </w:rPr>
        <w:t>Tous les tableaux se dérouleront par poules (2 sortants), puis par élimination directe, ou en poules uniques composées de 4 ou 5 joueurs.</w:t>
      </w:r>
      <w:r w:rsidR="00B36F64" w:rsidRPr="00993214">
        <w:rPr>
          <w:rFonts w:ascii="Tw Cen MT" w:hAnsi="Tw Cen MT"/>
          <w:sz w:val="24"/>
          <w:szCs w:val="24"/>
        </w:rPr>
        <w:t xml:space="preserve">  </w:t>
      </w:r>
    </w:p>
    <w:p w:rsidR="00B36F64" w:rsidRPr="00993214" w:rsidRDefault="00B36F64" w:rsidP="00192137">
      <w:pPr>
        <w:spacing w:line="240" w:lineRule="auto"/>
        <w:contextualSpacing/>
        <w:jc w:val="both"/>
        <w:rPr>
          <w:rFonts w:ascii="Tw Cen MT" w:hAnsi="Tw Cen MT"/>
          <w:sz w:val="24"/>
          <w:szCs w:val="24"/>
        </w:rPr>
      </w:pPr>
    </w:p>
    <w:p w:rsidR="00E53D46" w:rsidRDefault="00E53D46" w:rsidP="00192137">
      <w:pPr>
        <w:spacing w:line="240" w:lineRule="auto"/>
        <w:contextualSpacing/>
        <w:jc w:val="both"/>
        <w:rPr>
          <w:rFonts w:ascii="Tw Cen MT" w:hAnsi="Tw Cen MT"/>
          <w:sz w:val="24"/>
          <w:szCs w:val="28"/>
          <w:u w:val="single"/>
        </w:rPr>
      </w:pPr>
      <w:r w:rsidRPr="00993214">
        <w:rPr>
          <w:rFonts w:ascii="Tw Cen MT" w:hAnsi="Tw Cen MT"/>
          <w:sz w:val="24"/>
          <w:szCs w:val="24"/>
        </w:rPr>
        <w:t>Les tableaux sont susceptibles de ne</w:t>
      </w:r>
      <w:r w:rsidRPr="00E53D46">
        <w:rPr>
          <w:rFonts w:ascii="Tw Cen MT" w:hAnsi="Tw Cen MT"/>
          <w:sz w:val="24"/>
          <w:szCs w:val="28"/>
        </w:rPr>
        <w:t xml:space="preserve"> pas être représentés ou d’être regroupés si le nombre d’inscrits est trop faible.</w:t>
      </w:r>
    </w:p>
    <w:p w:rsidR="00E53D46" w:rsidRPr="00E53D46" w:rsidRDefault="00E53D46" w:rsidP="00192137">
      <w:pPr>
        <w:pStyle w:val="Paragraphedeliste"/>
        <w:numPr>
          <w:ilvl w:val="0"/>
          <w:numId w:val="1"/>
        </w:numPr>
        <w:spacing w:line="240" w:lineRule="auto"/>
        <w:jc w:val="both"/>
        <w:rPr>
          <w:rFonts w:ascii="Tw Cen MT" w:hAnsi="Tw Cen MT"/>
          <w:color w:val="FF0000"/>
          <w:sz w:val="24"/>
          <w:szCs w:val="28"/>
        </w:rPr>
      </w:pPr>
      <w:r w:rsidRPr="00E53D46">
        <w:rPr>
          <w:rFonts w:ascii="Tw Cen MT" w:hAnsi="Tw Cen MT"/>
          <w:b/>
          <w:color w:val="FF0000"/>
          <w:sz w:val="24"/>
          <w:szCs w:val="28"/>
        </w:rPr>
        <w:t>Infos pratiques</w:t>
      </w:r>
    </w:p>
    <w:p w:rsidR="00BD714E" w:rsidRDefault="00E53D46" w:rsidP="00192137">
      <w:pPr>
        <w:spacing w:line="240" w:lineRule="auto"/>
        <w:contextualSpacing/>
        <w:jc w:val="both"/>
        <w:rPr>
          <w:rFonts w:ascii="Tw Cen MT" w:hAnsi="Tw Cen MT"/>
          <w:b/>
          <w:sz w:val="24"/>
          <w:szCs w:val="28"/>
        </w:rPr>
      </w:pPr>
      <w:r>
        <w:rPr>
          <w:rFonts w:ascii="Tw Cen MT" w:hAnsi="Tw Cen MT"/>
          <w:b/>
          <w:sz w:val="24"/>
          <w:szCs w:val="28"/>
        </w:rPr>
        <w:t>Juge-arbitre :</w:t>
      </w:r>
      <w:r w:rsidR="00B93FBB">
        <w:rPr>
          <w:rFonts w:ascii="Tw Cen MT" w:hAnsi="Tw Cen MT"/>
          <w:sz w:val="24"/>
          <w:szCs w:val="28"/>
        </w:rPr>
        <w:t xml:space="preserve"> </w:t>
      </w:r>
      <w:r w:rsidR="007E2C2A">
        <w:rPr>
          <w:rFonts w:ascii="Tw Cen MT" w:hAnsi="Tw Cen MT"/>
          <w:sz w:val="24"/>
          <w:szCs w:val="28"/>
        </w:rPr>
        <w:t>Annick PICHOT</w:t>
      </w:r>
      <w:r>
        <w:rPr>
          <w:rFonts w:ascii="Tw Cen MT" w:hAnsi="Tw Cen MT"/>
          <w:sz w:val="24"/>
          <w:szCs w:val="28"/>
        </w:rPr>
        <w:t xml:space="preserve"> ; </w:t>
      </w:r>
      <w:r>
        <w:rPr>
          <w:rFonts w:ascii="Tw Cen MT" w:hAnsi="Tw Cen MT"/>
          <w:b/>
          <w:sz w:val="24"/>
          <w:szCs w:val="28"/>
        </w:rPr>
        <w:t xml:space="preserve"> </w:t>
      </w:r>
    </w:p>
    <w:p w:rsidR="00E53D46" w:rsidRDefault="00E53D46" w:rsidP="00192137">
      <w:pPr>
        <w:spacing w:line="240" w:lineRule="auto"/>
        <w:contextualSpacing/>
        <w:jc w:val="both"/>
        <w:rPr>
          <w:rFonts w:ascii="Tw Cen MT" w:hAnsi="Tw Cen MT"/>
          <w:sz w:val="24"/>
          <w:szCs w:val="28"/>
        </w:rPr>
      </w:pPr>
      <w:r>
        <w:rPr>
          <w:rFonts w:ascii="Tw Cen MT" w:hAnsi="Tw Cen MT"/>
          <w:b/>
          <w:sz w:val="24"/>
          <w:szCs w:val="28"/>
        </w:rPr>
        <w:t>Juge-arbitre adjoint :</w:t>
      </w:r>
    </w:p>
    <w:p w:rsidR="00E53D46" w:rsidRDefault="00E53D46" w:rsidP="00192137">
      <w:pPr>
        <w:spacing w:line="240" w:lineRule="auto"/>
        <w:contextualSpacing/>
        <w:jc w:val="both"/>
        <w:rPr>
          <w:rFonts w:ascii="Tw Cen MT" w:hAnsi="Tw Cen MT"/>
          <w:sz w:val="24"/>
          <w:szCs w:val="28"/>
          <w:u w:val="single"/>
        </w:rPr>
      </w:pPr>
      <w:r w:rsidRPr="00E53D46">
        <w:rPr>
          <w:rFonts w:ascii="Tw Cen MT" w:hAnsi="Tw Cen MT"/>
          <w:b/>
          <w:sz w:val="24"/>
          <w:szCs w:val="28"/>
        </w:rPr>
        <w:t>Règlement :</w:t>
      </w:r>
      <w:r w:rsidRPr="00E53D46">
        <w:rPr>
          <w:rFonts w:ascii="Tw Cen MT" w:hAnsi="Tw Cen MT"/>
          <w:sz w:val="24"/>
          <w:szCs w:val="28"/>
        </w:rPr>
        <w:t xml:space="preserve"> Pour les règles générales, se référer au Guide du Badminton de la FFBaD. </w:t>
      </w:r>
      <w:r w:rsidRPr="00E53D46">
        <w:rPr>
          <w:rFonts w:ascii="Tw Cen MT" w:hAnsi="Tw Cen MT"/>
          <w:sz w:val="24"/>
          <w:szCs w:val="28"/>
        </w:rPr>
        <w:cr/>
      </w:r>
      <w:r w:rsidRPr="00E53D46">
        <w:rPr>
          <w:rFonts w:ascii="Tw Cen MT" w:hAnsi="Tw Cen MT"/>
          <w:b/>
          <w:sz w:val="24"/>
          <w:szCs w:val="28"/>
        </w:rPr>
        <w:t>Restauration :</w:t>
      </w:r>
      <w:r w:rsidRPr="00E53D46">
        <w:rPr>
          <w:rFonts w:ascii="Tw Cen MT" w:hAnsi="Tw Cen MT"/>
          <w:sz w:val="24"/>
          <w:szCs w:val="28"/>
        </w:rPr>
        <w:t xml:space="preserve"> Boissons, salades, sandwichs, pâtisseries, friandises et autres délices seront en vente sur place. </w:t>
      </w:r>
      <w:r w:rsidRPr="00E53D46">
        <w:rPr>
          <w:rFonts w:ascii="Tw Cen MT" w:hAnsi="Tw Cen MT"/>
          <w:b/>
          <w:sz w:val="24"/>
          <w:szCs w:val="28"/>
        </w:rPr>
        <w:t>Stand :</w:t>
      </w:r>
      <w:r w:rsidRPr="00E53D46">
        <w:rPr>
          <w:rFonts w:ascii="Tw Cen MT" w:hAnsi="Tw Cen MT"/>
          <w:sz w:val="24"/>
          <w:szCs w:val="28"/>
        </w:rPr>
        <w:t xml:space="preserve"> Notre partenaire La boîte à Bad sera présent avec matériel, </w:t>
      </w:r>
      <w:proofErr w:type="spellStart"/>
      <w:r w:rsidRPr="00E53D46">
        <w:rPr>
          <w:rFonts w:ascii="Tw Cen MT" w:hAnsi="Tw Cen MT"/>
          <w:sz w:val="24"/>
          <w:szCs w:val="28"/>
        </w:rPr>
        <w:t>cordeuse</w:t>
      </w:r>
      <w:proofErr w:type="spellEnd"/>
      <w:r w:rsidRPr="00E53D46">
        <w:rPr>
          <w:rFonts w:ascii="Tw Cen MT" w:hAnsi="Tw Cen MT"/>
          <w:sz w:val="24"/>
          <w:szCs w:val="28"/>
        </w:rPr>
        <w:t xml:space="preserve">, conseils…  </w:t>
      </w:r>
    </w:p>
    <w:p w:rsidR="00E53D46" w:rsidRPr="00E53D46" w:rsidRDefault="00E53D46" w:rsidP="00192137">
      <w:pPr>
        <w:pStyle w:val="Paragraphedeliste"/>
        <w:numPr>
          <w:ilvl w:val="0"/>
          <w:numId w:val="1"/>
        </w:numPr>
        <w:spacing w:line="240" w:lineRule="auto"/>
        <w:jc w:val="both"/>
        <w:rPr>
          <w:rFonts w:ascii="Tw Cen MT" w:hAnsi="Tw Cen MT"/>
          <w:color w:val="FF0000"/>
          <w:sz w:val="24"/>
          <w:szCs w:val="28"/>
        </w:rPr>
      </w:pPr>
      <w:r w:rsidRPr="00E53D46">
        <w:rPr>
          <w:rFonts w:ascii="Tw Cen MT" w:hAnsi="Tw Cen MT"/>
          <w:b/>
          <w:color w:val="FF0000"/>
          <w:sz w:val="24"/>
          <w:szCs w:val="28"/>
        </w:rPr>
        <w:t>In</w:t>
      </w:r>
      <w:r>
        <w:rPr>
          <w:rFonts w:ascii="Tw Cen MT" w:hAnsi="Tw Cen MT"/>
          <w:b/>
          <w:color w:val="FF0000"/>
          <w:sz w:val="24"/>
          <w:szCs w:val="28"/>
        </w:rPr>
        <w:t>scription</w:t>
      </w:r>
    </w:p>
    <w:p w:rsidR="00BD714E" w:rsidRDefault="00E53D46" w:rsidP="00192137">
      <w:pPr>
        <w:spacing w:line="240" w:lineRule="auto"/>
        <w:contextualSpacing/>
        <w:jc w:val="both"/>
        <w:rPr>
          <w:rFonts w:ascii="Tw Cen MT" w:hAnsi="Tw Cen MT"/>
          <w:sz w:val="24"/>
          <w:szCs w:val="28"/>
        </w:rPr>
      </w:pPr>
      <w:r>
        <w:rPr>
          <w:rFonts w:ascii="Tw Cen MT" w:hAnsi="Tw Cen MT"/>
          <w:sz w:val="24"/>
          <w:szCs w:val="28"/>
        </w:rPr>
        <w:t>La</w:t>
      </w:r>
      <w:r w:rsidRPr="00E53D46">
        <w:t xml:space="preserve"> </w:t>
      </w:r>
      <w:r w:rsidRPr="00E53D46">
        <w:rPr>
          <w:rFonts w:ascii="Tw Cen MT" w:hAnsi="Tw Cen MT"/>
          <w:sz w:val="24"/>
          <w:szCs w:val="28"/>
        </w:rPr>
        <w:t xml:space="preserve">participation est fixée à </w:t>
      </w:r>
      <w:r w:rsidR="00E12936">
        <w:rPr>
          <w:rFonts w:ascii="Tw Cen MT" w:hAnsi="Tw Cen MT"/>
          <w:sz w:val="24"/>
          <w:szCs w:val="28"/>
        </w:rPr>
        <w:t>11</w:t>
      </w:r>
      <w:r w:rsidRPr="00E53D46">
        <w:rPr>
          <w:rFonts w:ascii="Tw Cen MT" w:hAnsi="Tw Cen MT"/>
          <w:sz w:val="24"/>
          <w:szCs w:val="28"/>
        </w:rPr>
        <w:t xml:space="preserve"> € pour </w:t>
      </w:r>
      <w:r w:rsidR="007E2C2A">
        <w:rPr>
          <w:rFonts w:ascii="Tw Cen MT" w:hAnsi="Tw Cen MT"/>
          <w:sz w:val="24"/>
          <w:szCs w:val="28"/>
        </w:rPr>
        <w:t>un tableau vétérans.</w:t>
      </w:r>
      <w:r w:rsidR="00A90669">
        <w:rPr>
          <w:rFonts w:ascii="Tw Cen MT" w:hAnsi="Tw Cen MT"/>
          <w:sz w:val="24"/>
          <w:szCs w:val="28"/>
        </w:rPr>
        <w:t xml:space="preserve"> Les classés C sont autorisés à s’inscrire sur 2 tableaux pour une participation de 15€</w:t>
      </w:r>
      <w:bookmarkStart w:id="0" w:name="_GoBack"/>
      <w:bookmarkEnd w:id="0"/>
      <w:r w:rsidRPr="00E53D46">
        <w:rPr>
          <w:rFonts w:ascii="Tw Cen MT" w:hAnsi="Tw Cen MT"/>
          <w:sz w:val="24"/>
          <w:szCs w:val="28"/>
        </w:rPr>
        <w:cr/>
      </w:r>
    </w:p>
    <w:p w:rsidR="00831D32" w:rsidRDefault="00E53D46" w:rsidP="00192137">
      <w:pPr>
        <w:spacing w:line="240" w:lineRule="auto"/>
        <w:contextualSpacing/>
        <w:jc w:val="both"/>
        <w:rPr>
          <w:rFonts w:ascii="Tw Cen MT" w:hAnsi="Tw Cen MT"/>
          <w:sz w:val="24"/>
          <w:szCs w:val="28"/>
        </w:rPr>
      </w:pPr>
      <w:r w:rsidRPr="00E53D46">
        <w:rPr>
          <w:rFonts w:ascii="Tw Cen MT" w:hAnsi="Tw Cen MT"/>
          <w:sz w:val="24"/>
          <w:szCs w:val="28"/>
        </w:rPr>
        <w:t xml:space="preserve">La feuille d’inscription dûment remplie devra parvenir </w:t>
      </w:r>
      <w:r w:rsidRPr="00E53D46">
        <w:rPr>
          <w:rFonts w:ascii="Tw Cen MT" w:hAnsi="Tw Cen MT"/>
          <w:b/>
          <w:color w:val="FF0000"/>
          <w:sz w:val="24"/>
          <w:szCs w:val="28"/>
        </w:rPr>
        <w:t xml:space="preserve">avant le </w:t>
      </w:r>
      <w:r w:rsidR="00AB3FD0">
        <w:rPr>
          <w:rFonts w:ascii="Tw Cen MT" w:hAnsi="Tw Cen MT"/>
          <w:b/>
          <w:color w:val="FF0000"/>
          <w:sz w:val="24"/>
          <w:szCs w:val="28"/>
        </w:rPr>
        <w:t>2</w:t>
      </w:r>
      <w:r w:rsidR="00473F9F">
        <w:rPr>
          <w:rFonts w:ascii="Tw Cen MT" w:hAnsi="Tw Cen MT"/>
          <w:b/>
          <w:color w:val="FF0000"/>
          <w:sz w:val="24"/>
          <w:szCs w:val="28"/>
        </w:rPr>
        <w:t>0</w:t>
      </w:r>
      <w:r w:rsidRPr="00E53D46">
        <w:rPr>
          <w:rFonts w:ascii="Tw Cen MT" w:hAnsi="Tw Cen MT"/>
          <w:b/>
          <w:color w:val="FF0000"/>
          <w:sz w:val="24"/>
          <w:szCs w:val="28"/>
        </w:rPr>
        <w:t xml:space="preserve"> </w:t>
      </w:r>
      <w:r w:rsidR="00AB3FD0">
        <w:rPr>
          <w:rFonts w:ascii="Tw Cen MT" w:hAnsi="Tw Cen MT"/>
          <w:b/>
          <w:color w:val="FF0000"/>
          <w:sz w:val="24"/>
          <w:szCs w:val="28"/>
        </w:rPr>
        <w:t>octobre</w:t>
      </w:r>
      <w:r w:rsidRPr="00E53D46">
        <w:rPr>
          <w:rFonts w:ascii="Tw Cen MT" w:hAnsi="Tw Cen MT"/>
          <w:b/>
          <w:color w:val="FF0000"/>
          <w:sz w:val="24"/>
          <w:szCs w:val="28"/>
        </w:rPr>
        <w:t xml:space="preserve"> 201</w:t>
      </w:r>
      <w:r w:rsidR="007E2C2A">
        <w:rPr>
          <w:rFonts w:ascii="Tw Cen MT" w:hAnsi="Tw Cen MT"/>
          <w:b/>
          <w:color w:val="FF0000"/>
          <w:sz w:val="24"/>
          <w:szCs w:val="28"/>
        </w:rPr>
        <w:t>4</w:t>
      </w:r>
      <w:r w:rsidRPr="00E53D46">
        <w:rPr>
          <w:rFonts w:ascii="Tw Cen MT" w:hAnsi="Tw Cen MT"/>
          <w:sz w:val="24"/>
          <w:szCs w:val="28"/>
        </w:rPr>
        <w:t xml:space="preserve">, accompagnée du règlement par chèque à l’ordre de </w:t>
      </w:r>
      <w:r w:rsidRPr="00E53D46">
        <w:rPr>
          <w:rFonts w:ascii="Tw Cen MT" w:hAnsi="Tw Cen MT"/>
          <w:i/>
          <w:sz w:val="24"/>
          <w:szCs w:val="28"/>
        </w:rPr>
        <w:t>« Don Bosco Badminton Nantes »</w:t>
      </w:r>
      <w:r w:rsidRPr="00E53D46">
        <w:rPr>
          <w:rFonts w:ascii="Tw Cen MT" w:hAnsi="Tw Cen MT"/>
          <w:sz w:val="24"/>
          <w:szCs w:val="28"/>
        </w:rPr>
        <w:t>, à :</w:t>
      </w:r>
    </w:p>
    <w:p w:rsidR="00831D32" w:rsidRDefault="00831D32" w:rsidP="00192137">
      <w:pPr>
        <w:spacing w:line="240" w:lineRule="auto"/>
        <w:contextualSpacing/>
        <w:jc w:val="both"/>
        <w:rPr>
          <w:rFonts w:ascii="Tw Cen MT" w:hAnsi="Tw Cen MT"/>
          <w:sz w:val="24"/>
          <w:szCs w:val="28"/>
        </w:rPr>
      </w:pPr>
    </w:p>
    <w:p w:rsidR="00831D32" w:rsidRDefault="00172418" w:rsidP="00192137">
      <w:pPr>
        <w:spacing w:line="240" w:lineRule="auto"/>
        <w:contextualSpacing/>
        <w:jc w:val="both"/>
        <w:rPr>
          <w:rFonts w:ascii="Tw Cen MT" w:hAnsi="Tw Cen MT"/>
          <w:sz w:val="24"/>
          <w:szCs w:val="28"/>
        </w:rPr>
      </w:pPr>
      <w:r>
        <w:rPr>
          <w:rFonts w:ascii="Tw Cen MT" w:hAnsi="Tw Cen MT"/>
          <w:b/>
          <w:noProof/>
          <w:color w:val="FF0000"/>
          <w:sz w:val="24"/>
          <w:szCs w:val="28"/>
        </w:rPr>
        <w:pict>
          <v:shape id="_x0000_s1027" type="#_x0000_t202" style="position:absolute;left:0;text-align:left;margin-left:-1.6pt;margin-top:8.35pt;width:292.1pt;height:91.3pt;z-index:251662336;mso-width-relative:margin;mso-height-relative:margin" stroked="f">
            <v:fill opacity="0"/>
            <v:textbox inset="0,0,0,0">
              <w:txbxContent>
                <w:p w:rsidR="00B75676" w:rsidRPr="00B75676" w:rsidRDefault="00B75676" w:rsidP="00E53D46">
                  <w:pPr>
                    <w:spacing w:line="240" w:lineRule="auto"/>
                    <w:contextualSpacing/>
                    <w:jc w:val="center"/>
                    <w:rPr>
                      <w:rFonts w:ascii="Tw Cen MT" w:hAnsi="Tw Cen MT"/>
                      <w:sz w:val="24"/>
                      <w:szCs w:val="24"/>
                    </w:rPr>
                  </w:pPr>
                  <w:r w:rsidRPr="00B75676">
                    <w:rPr>
                      <w:rFonts w:ascii="Tw Cen MT" w:hAnsi="Tw Cen MT"/>
                      <w:sz w:val="24"/>
                      <w:szCs w:val="24"/>
                    </w:rPr>
                    <w:t>Kevin LEBLANC</w:t>
                  </w:r>
                  <w:r w:rsidR="00E53D46" w:rsidRPr="00B75676">
                    <w:rPr>
                      <w:rFonts w:ascii="Tw Cen MT" w:hAnsi="Tw Cen MT"/>
                      <w:sz w:val="24"/>
                      <w:szCs w:val="24"/>
                    </w:rPr>
                    <w:cr/>
                  </w:r>
                  <w:r w:rsidRPr="00B75676">
                    <w:rPr>
                      <w:rFonts w:ascii="Tw Cen MT" w:hAnsi="Tw Cen MT"/>
                      <w:sz w:val="24"/>
                      <w:szCs w:val="24"/>
                    </w:rPr>
                    <w:t>14 rue Philippe Noiret</w:t>
                  </w:r>
                </w:p>
                <w:p w:rsidR="00B75676" w:rsidRPr="00B75676" w:rsidRDefault="00B75676" w:rsidP="00E53D46">
                  <w:pPr>
                    <w:spacing w:line="240" w:lineRule="auto"/>
                    <w:contextualSpacing/>
                    <w:jc w:val="center"/>
                    <w:rPr>
                      <w:rFonts w:ascii="Tw Cen MT" w:hAnsi="Tw Cen MT"/>
                      <w:sz w:val="24"/>
                      <w:szCs w:val="24"/>
                    </w:rPr>
                  </w:pPr>
                  <w:r w:rsidRPr="00B75676">
                    <w:rPr>
                      <w:rFonts w:ascii="Tw Cen MT" w:hAnsi="Tw Cen MT"/>
                      <w:sz w:val="24"/>
                      <w:szCs w:val="24"/>
                    </w:rPr>
                    <w:t>44240 La Chapelle Sur Erdre</w:t>
                  </w:r>
                </w:p>
                <w:p w:rsidR="00E53D46" w:rsidRPr="00B75676" w:rsidRDefault="00B75676" w:rsidP="00E53D46">
                  <w:pPr>
                    <w:spacing w:line="240" w:lineRule="auto"/>
                    <w:contextualSpacing/>
                    <w:jc w:val="center"/>
                    <w:rPr>
                      <w:rFonts w:ascii="Tw Cen MT" w:hAnsi="Tw Cen MT"/>
                      <w:sz w:val="24"/>
                      <w:szCs w:val="24"/>
                    </w:rPr>
                  </w:pPr>
                  <w:r w:rsidRPr="00B75676">
                    <w:rPr>
                      <w:rFonts w:ascii="Tw Cen MT" w:hAnsi="Tw Cen MT"/>
                      <w:sz w:val="24"/>
                      <w:szCs w:val="24"/>
                    </w:rPr>
                    <w:t>06-78-22-57-68</w:t>
                  </w:r>
                </w:p>
                <w:p w:rsidR="00BB424F" w:rsidRDefault="00BB424F" w:rsidP="00E53D46">
                  <w:pPr>
                    <w:spacing w:line="240" w:lineRule="auto"/>
                    <w:contextualSpacing/>
                    <w:jc w:val="center"/>
                    <w:rPr>
                      <w:rFonts w:ascii="Tw Cen MT" w:hAnsi="Tw Cen MT"/>
                      <w:sz w:val="24"/>
                      <w:szCs w:val="24"/>
                    </w:rPr>
                  </w:pPr>
                </w:p>
                <w:p w:rsidR="003A07D9" w:rsidRDefault="003A07D9" w:rsidP="00E53D46">
                  <w:pPr>
                    <w:spacing w:line="240" w:lineRule="auto"/>
                    <w:contextualSpacing/>
                    <w:jc w:val="center"/>
                    <w:rPr>
                      <w:rFonts w:ascii="Tw Cen MT" w:hAnsi="Tw Cen MT"/>
                      <w:sz w:val="24"/>
                      <w:szCs w:val="24"/>
                    </w:rPr>
                  </w:pPr>
                  <w:r>
                    <w:rPr>
                      <w:rFonts w:ascii="Tw Cen MT" w:hAnsi="Tw Cen MT"/>
                      <w:sz w:val="24"/>
                      <w:szCs w:val="24"/>
                    </w:rPr>
                    <w:t>tournoidbbn@donboscobadminton.fr</w:t>
                  </w:r>
                </w:p>
                <w:p w:rsidR="003A07D9" w:rsidRPr="00E53D46" w:rsidRDefault="003A07D9" w:rsidP="00E53D46">
                  <w:pPr>
                    <w:spacing w:line="240" w:lineRule="auto"/>
                    <w:jc w:val="center"/>
                    <w:rPr>
                      <w:rFonts w:ascii="Tw Cen MT" w:hAnsi="Tw Cen MT"/>
                      <w:sz w:val="24"/>
                      <w:szCs w:val="24"/>
                    </w:rPr>
                  </w:pPr>
                </w:p>
              </w:txbxContent>
            </v:textbox>
          </v:shape>
        </w:pict>
      </w:r>
    </w:p>
    <w:p w:rsidR="00831D32" w:rsidRDefault="00831D32" w:rsidP="00192137">
      <w:pPr>
        <w:spacing w:line="240" w:lineRule="auto"/>
        <w:contextualSpacing/>
        <w:jc w:val="both"/>
        <w:rPr>
          <w:rFonts w:ascii="Tw Cen MT" w:hAnsi="Tw Cen MT"/>
          <w:sz w:val="24"/>
          <w:szCs w:val="28"/>
        </w:rPr>
      </w:pPr>
    </w:p>
    <w:p w:rsidR="00831D32" w:rsidRDefault="00831D32" w:rsidP="00192137">
      <w:pPr>
        <w:spacing w:line="240" w:lineRule="auto"/>
        <w:contextualSpacing/>
        <w:jc w:val="both"/>
        <w:rPr>
          <w:rFonts w:ascii="Tw Cen MT" w:hAnsi="Tw Cen MT"/>
          <w:sz w:val="24"/>
          <w:szCs w:val="28"/>
        </w:rPr>
      </w:pPr>
    </w:p>
    <w:p w:rsidR="00831D32" w:rsidRDefault="00831D32" w:rsidP="00192137">
      <w:pPr>
        <w:spacing w:line="240" w:lineRule="auto"/>
        <w:contextualSpacing/>
        <w:jc w:val="both"/>
        <w:rPr>
          <w:rFonts w:ascii="Tw Cen MT" w:hAnsi="Tw Cen MT"/>
          <w:sz w:val="24"/>
          <w:szCs w:val="28"/>
        </w:rPr>
      </w:pPr>
    </w:p>
    <w:p w:rsidR="00831D32" w:rsidRDefault="00831D32" w:rsidP="00192137">
      <w:pPr>
        <w:spacing w:line="240" w:lineRule="auto"/>
        <w:contextualSpacing/>
        <w:jc w:val="both"/>
        <w:rPr>
          <w:rFonts w:ascii="Tw Cen MT" w:hAnsi="Tw Cen MT"/>
          <w:sz w:val="24"/>
          <w:szCs w:val="28"/>
        </w:rPr>
      </w:pPr>
    </w:p>
    <w:p w:rsidR="00831D32" w:rsidRDefault="00831D32" w:rsidP="00192137">
      <w:pPr>
        <w:spacing w:line="240" w:lineRule="auto"/>
        <w:contextualSpacing/>
        <w:jc w:val="both"/>
        <w:rPr>
          <w:rFonts w:ascii="Tw Cen MT" w:hAnsi="Tw Cen MT"/>
          <w:sz w:val="24"/>
          <w:szCs w:val="28"/>
        </w:rPr>
      </w:pPr>
    </w:p>
    <w:p w:rsidR="00FA620A" w:rsidRDefault="00FA620A">
      <w:pPr>
        <w:rPr>
          <w:rFonts w:ascii="Tw Cen MT" w:hAnsi="Tw Cen MT"/>
          <w:b/>
          <w:color w:val="FF0000"/>
          <w:sz w:val="24"/>
          <w:szCs w:val="28"/>
        </w:rPr>
      </w:pPr>
      <w:r>
        <w:rPr>
          <w:rFonts w:ascii="Tw Cen MT" w:hAnsi="Tw Cen MT"/>
          <w:b/>
          <w:color w:val="FF0000"/>
          <w:sz w:val="24"/>
          <w:szCs w:val="28"/>
        </w:rPr>
        <w:br w:type="page"/>
      </w:r>
    </w:p>
    <w:p w:rsidR="00FA620A" w:rsidRDefault="00172418" w:rsidP="00FA620A">
      <w:pPr>
        <w:spacing w:line="240" w:lineRule="auto"/>
        <w:contextualSpacing/>
        <w:jc w:val="both"/>
        <w:rPr>
          <w:rFonts w:ascii="Tw Cen MT" w:hAnsi="Tw Cen MT"/>
          <w:b/>
          <w:color w:val="FF0000"/>
          <w:sz w:val="24"/>
          <w:szCs w:val="28"/>
        </w:rPr>
      </w:pPr>
      <w:r>
        <w:rPr>
          <w:rFonts w:ascii="Tw Cen MT" w:hAnsi="Tw Cen MT"/>
          <w:b/>
          <w:noProof/>
          <w:color w:val="FF0000"/>
          <w:sz w:val="24"/>
          <w:szCs w:val="28"/>
        </w:rPr>
        <w:lastRenderedPageBreak/>
        <w:pict>
          <v:shape id="_x0000_s1033" type="#_x0000_t202" style="position:absolute;left:0;text-align:left;margin-left:36pt;margin-top:12.75pt;width:523.3pt;height:87pt;z-index:251665408;mso-position-horizontal-relative:page;mso-position-vertical-relative:page;mso-width-relative:margin;mso-height-relative:margin" stroked="f">
            <v:fill opacity="0"/>
            <v:textbox style="mso-next-textbox:#_x0000_s1033" inset="0,0,0,0">
              <w:txbxContent>
                <w:p w:rsidR="00686220" w:rsidRPr="00BD714E" w:rsidRDefault="00686220" w:rsidP="00686220">
                  <w:pPr>
                    <w:spacing w:line="240" w:lineRule="auto"/>
                    <w:contextualSpacing/>
                    <w:jc w:val="right"/>
                    <w:rPr>
                      <w:rFonts w:ascii="Tw Cen MT" w:hAnsi="Tw Cen MT"/>
                      <w:b/>
                      <w:color w:val="FF0000"/>
                      <w:sz w:val="52"/>
                      <w:szCs w:val="56"/>
                    </w:rPr>
                  </w:pPr>
                  <w:r w:rsidRPr="00BD714E">
                    <w:rPr>
                      <w:rFonts w:ascii="Tw Cen MT" w:hAnsi="Tw Cen MT"/>
                      <w:b/>
                      <w:color w:val="FF0000"/>
                      <w:sz w:val="56"/>
                      <w:szCs w:val="56"/>
                    </w:rPr>
                    <w:t>Don Bosco Badminton Nantes</w:t>
                  </w:r>
                </w:p>
                <w:p w:rsidR="00686220" w:rsidRPr="00BD714E" w:rsidRDefault="00686220" w:rsidP="00686220">
                  <w:pPr>
                    <w:spacing w:line="240" w:lineRule="auto"/>
                    <w:contextualSpacing/>
                    <w:jc w:val="right"/>
                    <w:rPr>
                      <w:rFonts w:ascii="Tw Cen MT" w:hAnsi="Tw Cen MT"/>
                      <w:b/>
                      <w:i/>
                      <w:sz w:val="32"/>
                      <w:szCs w:val="28"/>
                    </w:rPr>
                  </w:pPr>
                  <w:r w:rsidRPr="00BD714E">
                    <w:rPr>
                      <w:rFonts w:ascii="Tw Cen MT" w:hAnsi="Tw Cen MT"/>
                      <w:b/>
                      <w:i/>
                      <w:sz w:val="32"/>
                      <w:szCs w:val="28"/>
                    </w:rPr>
                    <w:t xml:space="preserve">Tournoi de Doubles </w:t>
                  </w:r>
                  <w:r w:rsidR="007E2C2A">
                    <w:rPr>
                      <w:rFonts w:ascii="Tw Cen MT" w:hAnsi="Tw Cen MT"/>
                      <w:b/>
                      <w:i/>
                      <w:sz w:val="32"/>
                      <w:szCs w:val="28"/>
                    </w:rPr>
                    <w:t xml:space="preserve">et Mixte </w:t>
                  </w:r>
                  <w:r w:rsidRPr="00BD714E">
                    <w:rPr>
                      <w:rFonts w:ascii="Tw Cen MT" w:hAnsi="Tw Cen MT"/>
                      <w:b/>
                      <w:i/>
                      <w:sz w:val="32"/>
                      <w:szCs w:val="28"/>
                    </w:rPr>
                    <w:t>Vétéran</w:t>
                  </w:r>
                  <w:r>
                    <w:rPr>
                      <w:rFonts w:ascii="Tw Cen MT" w:hAnsi="Tw Cen MT"/>
                      <w:b/>
                      <w:i/>
                      <w:sz w:val="32"/>
                      <w:szCs w:val="28"/>
                    </w:rPr>
                    <w:t>s</w:t>
                  </w:r>
                </w:p>
                <w:p w:rsidR="00686220" w:rsidRPr="00BD714E" w:rsidRDefault="007E2C2A" w:rsidP="00686220">
                  <w:pPr>
                    <w:spacing w:line="240" w:lineRule="auto"/>
                    <w:contextualSpacing/>
                    <w:jc w:val="right"/>
                    <w:rPr>
                      <w:rFonts w:ascii="Tw Cen MT" w:hAnsi="Tw Cen MT"/>
                      <w:b/>
                      <w:i/>
                      <w:sz w:val="32"/>
                      <w:szCs w:val="28"/>
                    </w:rPr>
                  </w:pPr>
                  <w:r>
                    <w:rPr>
                      <w:rFonts w:ascii="Tw Cen MT" w:hAnsi="Tw Cen MT"/>
                      <w:b/>
                      <w:i/>
                      <w:sz w:val="32"/>
                      <w:szCs w:val="28"/>
                    </w:rPr>
                    <w:t>1er</w:t>
                  </w:r>
                  <w:r w:rsidR="00686220" w:rsidRPr="00BD714E">
                    <w:rPr>
                      <w:rFonts w:ascii="Tw Cen MT" w:hAnsi="Tw Cen MT"/>
                      <w:b/>
                      <w:i/>
                      <w:sz w:val="32"/>
                      <w:szCs w:val="28"/>
                    </w:rPr>
                    <w:t xml:space="preserve"> Novembre 201</w:t>
                  </w:r>
                  <w:r>
                    <w:rPr>
                      <w:rFonts w:ascii="Tw Cen MT" w:hAnsi="Tw Cen MT"/>
                      <w:b/>
                      <w:i/>
                      <w:sz w:val="32"/>
                      <w:szCs w:val="28"/>
                    </w:rPr>
                    <w:t>4</w:t>
                  </w:r>
                </w:p>
                <w:p w:rsidR="00686220" w:rsidRPr="00686220" w:rsidRDefault="00EA4DD2" w:rsidP="00686220">
                  <w:pPr>
                    <w:spacing w:line="240" w:lineRule="auto"/>
                    <w:contextualSpacing/>
                    <w:jc w:val="right"/>
                    <w:rPr>
                      <w:rFonts w:ascii="Tw Cen MT" w:hAnsi="Tw Cen MT"/>
                      <w:sz w:val="18"/>
                      <w:szCs w:val="18"/>
                    </w:rPr>
                  </w:pPr>
                  <w:r w:rsidRPr="00EA4DD2">
                    <w:t>N°</w:t>
                  </w:r>
                  <w:r>
                    <w:rPr>
                      <w:color w:val="FF0000"/>
                      <w:sz w:val="18"/>
                      <w:szCs w:val="18"/>
                    </w:rPr>
                    <w:t xml:space="preserve"> </w:t>
                  </w:r>
                  <w:r>
                    <w:t>14.PL.44/</w:t>
                  </w:r>
                  <w:proofErr w:type="spellStart"/>
                  <w:r>
                    <w:t>Ti.L.V</w:t>
                  </w:r>
                  <w:proofErr w:type="spellEnd"/>
                  <w:r>
                    <w:t>/002</w:t>
                  </w:r>
                </w:p>
                <w:p w:rsidR="00FA620A" w:rsidRPr="00686220" w:rsidRDefault="00FA620A" w:rsidP="00686220">
                  <w:pPr>
                    <w:rPr>
                      <w:szCs w:val="28"/>
                    </w:rPr>
                  </w:pPr>
                </w:p>
              </w:txbxContent>
            </v:textbox>
            <w10:wrap anchorx="page" anchory="page"/>
          </v:shape>
        </w:pict>
      </w:r>
    </w:p>
    <w:p w:rsidR="00FA620A" w:rsidRDefault="00FA620A" w:rsidP="00FA620A">
      <w:pPr>
        <w:pStyle w:val="Paragraphedeliste"/>
        <w:spacing w:line="240" w:lineRule="auto"/>
        <w:jc w:val="both"/>
        <w:rPr>
          <w:rFonts w:ascii="Tw Cen MT" w:hAnsi="Tw Cen MT"/>
          <w:b/>
          <w:color w:val="FF0000"/>
          <w:sz w:val="24"/>
          <w:szCs w:val="28"/>
        </w:rPr>
      </w:pPr>
    </w:p>
    <w:p w:rsidR="00FA620A" w:rsidRDefault="00FA620A" w:rsidP="00FA620A">
      <w:pPr>
        <w:pStyle w:val="Paragraphedeliste"/>
        <w:spacing w:line="240" w:lineRule="auto"/>
        <w:jc w:val="both"/>
        <w:rPr>
          <w:rFonts w:ascii="Tw Cen MT" w:hAnsi="Tw Cen MT"/>
          <w:b/>
          <w:color w:val="FF0000"/>
          <w:sz w:val="24"/>
          <w:szCs w:val="28"/>
        </w:rPr>
      </w:pPr>
    </w:p>
    <w:p w:rsidR="00FA620A" w:rsidRDefault="00FA620A" w:rsidP="00FA620A">
      <w:pPr>
        <w:pStyle w:val="Paragraphedeliste"/>
        <w:spacing w:line="240" w:lineRule="auto"/>
        <w:jc w:val="both"/>
        <w:rPr>
          <w:rFonts w:ascii="Tw Cen MT" w:hAnsi="Tw Cen MT"/>
          <w:b/>
          <w:color w:val="FF0000"/>
          <w:sz w:val="24"/>
          <w:szCs w:val="28"/>
        </w:rPr>
      </w:pPr>
    </w:p>
    <w:p w:rsidR="00FA620A" w:rsidRDefault="00FA620A" w:rsidP="00FA620A">
      <w:pPr>
        <w:pStyle w:val="Paragraphedeliste"/>
        <w:spacing w:line="240" w:lineRule="auto"/>
        <w:jc w:val="both"/>
        <w:rPr>
          <w:rFonts w:ascii="Tw Cen MT" w:hAnsi="Tw Cen MT"/>
          <w:b/>
          <w:color w:val="FF0000"/>
          <w:sz w:val="24"/>
          <w:szCs w:val="28"/>
        </w:rPr>
      </w:pPr>
    </w:p>
    <w:p w:rsidR="00FA620A" w:rsidRDefault="00FA620A" w:rsidP="00FA620A">
      <w:pPr>
        <w:spacing w:line="240" w:lineRule="auto"/>
        <w:contextualSpacing/>
        <w:jc w:val="both"/>
        <w:rPr>
          <w:rFonts w:ascii="Tw Cen MT" w:hAnsi="Tw Cen MT"/>
          <w:sz w:val="24"/>
          <w:szCs w:val="28"/>
        </w:rPr>
      </w:pPr>
      <w:r>
        <w:rPr>
          <w:rFonts w:ascii="Tw Cen MT" w:hAnsi="Tw Cen MT"/>
          <w:b/>
          <w:sz w:val="40"/>
          <w:szCs w:val="28"/>
        </w:rPr>
        <w:t>Accès au gymnase</w:t>
      </w:r>
    </w:p>
    <w:p w:rsidR="00FA620A" w:rsidRDefault="00FA620A" w:rsidP="00FA620A">
      <w:pPr>
        <w:spacing w:line="240" w:lineRule="auto"/>
        <w:contextualSpacing/>
        <w:jc w:val="both"/>
        <w:rPr>
          <w:rFonts w:ascii="Tw Cen MT" w:hAnsi="Tw Cen MT"/>
          <w:sz w:val="24"/>
          <w:szCs w:val="28"/>
        </w:rPr>
      </w:pPr>
    </w:p>
    <w:p w:rsidR="00FA620A" w:rsidRDefault="00FA620A" w:rsidP="00FA620A">
      <w:pPr>
        <w:spacing w:line="240" w:lineRule="auto"/>
        <w:contextualSpacing/>
        <w:jc w:val="both"/>
        <w:rPr>
          <w:rFonts w:ascii="Tw Cen MT" w:hAnsi="Tw Cen MT"/>
          <w:sz w:val="24"/>
          <w:szCs w:val="28"/>
        </w:rPr>
      </w:pPr>
      <w:r>
        <w:rPr>
          <w:rFonts w:ascii="Tw Cen MT" w:hAnsi="Tw Cen MT"/>
          <w:sz w:val="24"/>
          <w:szCs w:val="28"/>
        </w:rPr>
        <w:t>La salle est située dans un quartier résidentiel (quartier de l’Eraudière)</w:t>
      </w:r>
      <w:r w:rsidR="00993214">
        <w:rPr>
          <w:rFonts w:ascii="Tw Cen MT" w:hAnsi="Tw Cen MT"/>
          <w:sz w:val="24"/>
          <w:szCs w:val="28"/>
        </w:rPr>
        <w:t>,</w:t>
      </w:r>
      <w:r>
        <w:rPr>
          <w:rFonts w:ascii="Tw Cen MT" w:hAnsi="Tw Cen MT"/>
          <w:sz w:val="24"/>
          <w:szCs w:val="28"/>
        </w:rPr>
        <w:t xml:space="preserve"> les places à proximité du gymnase sont peu nombreuses</w:t>
      </w:r>
      <w:r w:rsidR="00993214">
        <w:rPr>
          <w:rFonts w:ascii="Tw Cen MT" w:hAnsi="Tw Cen MT"/>
          <w:sz w:val="24"/>
          <w:szCs w:val="28"/>
        </w:rPr>
        <w:t xml:space="preserve"> et réservées à l’organisation</w:t>
      </w:r>
      <w:r>
        <w:rPr>
          <w:rFonts w:ascii="Tw Cen MT" w:hAnsi="Tw Cen MT"/>
          <w:sz w:val="24"/>
          <w:szCs w:val="28"/>
        </w:rPr>
        <w:t xml:space="preserve">. </w:t>
      </w:r>
      <w:r w:rsidRPr="00FF450A">
        <w:rPr>
          <w:rFonts w:ascii="Tw Cen MT" w:hAnsi="Tw Cen MT"/>
          <w:b/>
          <w:sz w:val="24"/>
          <w:szCs w:val="28"/>
        </w:rPr>
        <w:t>Merci de vous garer sur le</w:t>
      </w:r>
      <w:r w:rsidR="00993214">
        <w:rPr>
          <w:rFonts w:ascii="Tw Cen MT" w:hAnsi="Tw Cen MT"/>
          <w:b/>
          <w:sz w:val="24"/>
          <w:szCs w:val="28"/>
        </w:rPr>
        <w:t>s</w:t>
      </w:r>
      <w:r w:rsidRPr="00FF450A">
        <w:rPr>
          <w:rFonts w:ascii="Tw Cen MT" w:hAnsi="Tw Cen MT"/>
          <w:b/>
          <w:sz w:val="24"/>
          <w:szCs w:val="28"/>
        </w:rPr>
        <w:t xml:space="preserve"> parking</w:t>
      </w:r>
      <w:r w:rsidR="00993214">
        <w:rPr>
          <w:rFonts w:ascii="Tw Cen MT" w:hAnsi="Tw Cen MT"/>
          <w:b/>
          <w:sz w:val="24"/>
          <w:szCs w:val="28"/>
        </w:rPr>
        <w:t>s</w:t>
      </w:r>
      <w:r w:rsidRPr="00FF450A">
        <w:rPr>
          <w:rFonts w:ascii="Tw Cen MT" w:hAnsi="Tw Cen MT"/>
          <w:b/>
          <w:sz w:val="24"/>
          <w:szCs w:val="28"/>
        </w:rPr>
        <w:t xml:space="preserve"> </w:t>
      </w:r>
      <w:r w:rsidR="00993214">
        <w:rPr>
          <w:rFonts w:ascii="Tw Cen MT" w:hAnsi="Tw Cen MT"/>
          <w:b/>
          <w:sz w:val="24"/>
          <w:szCs w:val="28"/>
        </w:rPr>
        <w:t>indiqués ci-dessous</w:t>
      </w:r>
      <w:r w:rsidR="00993214">
        <w:rPr>
          <w:rFonts w:ascii="Tw Cen MT" w:hAnsi="Tw Cen MT"/>
          <w:sz w:val="24"/>
          <w:szCs w:val="28"/>
        </w:rPr>
        <w:t xml:space="preserve"> (situés à 200 m de la salle) ; le parking de l’Intermarché étant disponible UNIQUEMENT le dimanche.</w:t>
      </w:r>
    </w:p>
    <w:p w:rsidR="00FA620A" w:rsidRPr="00E53D46" w:rsidRDefault="00FA620A" w:rsidP="00FA620A">
      <w:pPr>
        <w:pStyle w:val="Paragraphedeliste"/>
        <w:numPr>
          <w:ilvl w:val="0"/>
          <w:numId w:val="1"/>
        </w:numPr>
        <w:spacing w:line="240" w:lineRule="auto"/>
        <w:jc w:val="both"/>
        <w:rPr>
          <w:rFonts w:ascii="Tw Cen MT" w:hAnsi="Tw Cen MT"/>
          <w:color w:val="FF0000"/>
          <w:sz w:val="24"/>
          <w:szCs w:val="28"/>
        </w:rPr>
      </w:pPr>
      <w:r>
        <w:rPr>
          <w:rFonts w:ascii="Tw Cen MT" w:hAnsi="Tw Cen MT"/>
          <w:b/>
          <w:color w:val="FF0000"/>
          <w:sz w:val="24"/>
          <w:szCs w:val="28"/>
        </w:rPr>
        <w:t>Accès</w:t>
      </w:r>
    </w:p>
    <w:p w:rsidR="00FA620A" w:rsidRDefault="00FA620A" w:rsidP="00FA620A">
      <w:pPr>
        <w:spacing w:line="240" w:lineRule="auto"/>
        <w:contextualSpacing/>
        <w:jc w:val="both"/>
        <w:rPr>
          <w:rFonts w:ascii="Tw Cen MT" w:hAnsi="Tw Cen MT"/>
          <w:sz w:val="24"/>
          <w:szCs w:val="28"/>
        </w:rPr>
      </w:pPr>
      <w:r>
        <w:rPr>
          <w:rFonts w:ascii="Tw Cen MT" w:hAnsi="Tw Cen MT"/>
          <w:b/>
          <w:sz w:val="24"/>
          <w:szCs w:val="28"/>
        </w:rPr>
        <w:t>En voiture :</w:t>
      </w:r>
      <w:r>
        <w:rPr>
          <w:rFonts w:ascii="Tw Cen MT" w:hAnsi="Tw Cen MT"/>
          <w:sz w:val="24"/>
          <w:szCs w:val="28"/>
        </w:rPr>
        <w:t xml:space="preserve"> Sur le périphérique de Nantes, prendre la sortie 40 (porte de la Beaujoire) direction centre ville. Continuer tout droit sur la route de Saint-Joseph jusqu’à </w:t>
      </w:r>
      <w:proofErr w:type="spellStart"/>
      <w:r>
        <w:rPr>
          <w:rFonts w:ascii="Tw Cen MT" w:hAnsi="Tw Cen MT"/>
          <w:sz w:val="24"/>
          <w:szCs w:val="28"/>
        </w:rPr>
        <w:t>l’intermarché</w:t>
      </w:r>
      <w:proofErr w:type="spellEnd"/>
      <w:r>
        <w:rPr>
          <w:rFonts w:ascii="Tw Cen MT" w:hAnsi="Tw Cen MT"/>
          <w:sz w:val="24"/>
          <w:szCs w:val="28"/>
        </w:rPr>
        <w:t>.</w:t>
      </w:r>
    </w:p>
    <w:p w:rsidR="00FA620A" w:rsidRDefault="00FA620A" w:rsidP="00FA620A">
      <w:pPr>
        <w:spacing w:line="240" w:lineRule="auto"/>
        <w:contextualSpacing/>
        <w:jc w:val="both"/>
        <w:rPr>
          <w:rFonts w:ascii="Tw Cen MT" w:hAnsi="Tw Cen MT"/>
          <w:sz w:val="24"/>
          <w:szCs w:val="28"/>
          <w:u w:val="single"/>
        </w:rPr>
      </w:pPr>
      <w:r>
        <w:rPr>
          <w:rFonts w:ascii="Tw Cen MT" w:hAnsi="Tw Cen MT"/>
          <w:b/>
          <w:sz w:val="24"/>
          <w:szCs w:val="28"/>
        </w:rPr>
        <w:t>En transport en commun :</w:t>
      </w:r>
      <w:r>
        <w:rPr>
          <w:rFonts w:ascii="Tw Cen MT" w:hAnsi="Tw Cen MT"/>
          <w:sz w:val="24"/>
          <w:szCs w:val="28"/>
        </w:rPr>
        <w:t xml:space="preserve"> Depuis la gare, prendre le tram 1 direction Beaujoire. Sortir à l’arrêt Haluchère. Prendre le bus 52 </w:t>
      </w:r>
      <w:proofErr w:type="gramStart"/>
      <w:r>
        <w:rPr>
          <w:rFonts w:ascii="Tw Cen MT" w:hAnsi="Tw Cen MT"/>
          <w:sz w:val="24"/>
          <w:szCs w:val="28"/>
        </w:rPr>
        <w:t>direction</w:t>
      </w:r>
      <w:proofErr w:type="gramEnd"/>
      <w:r>
        <w:rPr>
          <w:rFonts w:ascii="Tw Cen MT" w:hAnsi="Tw Cen MT"/>
          <w:sz w:val="24"/>
          <w:szCs w:val="28"/>
        </w:rPr>
        <w:t xml:space="preserve"> Hôtel de Région. Descendre à l’arrêt Iroise. Traverser le long du terrain de foot.</w:t>
      </w:r>
      <w:r w:rsidRPr="00E53D46">
        <w:rPr>
          <w:rFonts w:ascii="Tw Cen MT" w:hAnsi="Tw Cen MT"/>
          <w:sz w:val="24"/>
          <w:szCs w:val="28"/>
        </w:rPr>
        <w:t xml:space="preserve"> </w:t>
      </w:r>
    </w:p>
    <w:p w:rsidR="00FA620A" w:rsidRDefault="00FA620A" w:rsidP="00FA620A">
      <w:pPr>
        <w:pStyle w:val="Paragraphedeliste"/>
        <w:numPr>
          <w:ilvl w:val="0"/>
          <w:numId w:val="1"/>
        </w:numPr>
        <w:spacing w:line="240" w:lineRule="auto"/>
        <w:jc w:val="both"/>
        <w:rPr>
          <w:rFonts w:ascii="Tw Cen MT" w:hAnsi="Tw Cen MT"/>
          <w:b/>
          <w:color w:val="FF0000"/>
          <w:sz w:val="24"/>
          <w:szCs w:val="28"/>
        </w:rPr>
      </w:pPr>
      <w:r>
        <w:rPr>
          <w:rFonts w:ascii="Tw Cen MT" w:hAnsi="Tw Cen MT"/>
          <w:b/>
          <w:color w:val="FF0000"/>
          <w:sz w:val="24"/>
          <w:szCs w:val="28"/>
        </w:rPr>
        <w:t>Plan</w:t>
      </w:r>
    </w:p>
    <w:p w:rsidR="00FA620A" w:rsidRDefault="00C766EF" w:rsidP="00FA620A">
      <w:pPr>
        <w:pStyle w:val="Paragraphedeliste"/>
        <w:spacing w:line="240" w:lineRule="auto"/>
        <w:jc w:val="both"/>
        <w:rPr>
          <w:rFonts w:ascii="Tw Cen MT" w:hAnsi="Tw Cen MT"/>
          <w:sz w:val="24"/>
          <w:szCs w:val="28"/>
        </w:rPr>
      </w:pPr>
      <w:r>
        <w:rPr>
          <w:rFonts w:ascii="Tw Cen MT" w:hAnsi="Tw Cen MT"/>
          <w:noProof/>
          <w:sz w:val="24"/>
          <w:szCs w:val="28"/>
          <w:lang w:eastAsia="fr-FR"/>
        </w:rPr>
        <w:drawing>
          <wp:anchor distT="0" distB="0" distL="114300" distR="114300" simplePos="0" relativeHeight="251666432" behindDoc="1" locked="0" layoutInCell="1" allowOverlap="1">
            <wp:simplePos x="0" y="0"/>
            <wp:positionH relativeFrom="page">
              <wp:posOffset>1123950</wp:posOffset>
            </wp:positionH>
            <wp:positionV relativeFrom="paragraph">
              <wp:posOffset>41910</wp:posOffset>
            </wp:positionV>
            <wp:extent cx="5427980" cy="4972050"/>
            <wp:effectExtent l="19050" t="0" r="1270" b="0"/>
            <wp:wrapNone/>
            <wp:docPr id="5" name="Image 4" descr="acces_s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s_salle.jpg"/>
                    <pic:cNvPicPr/>
                  </pic:nvPicPr>
                  <pic:blipFill>
                    <a:blip r:embed="rId8" cstate="print"/>
                    <a:srcRect t="1313" b="2428"/>
                    <a:stretch>
                      <a:fillRect/>
                    </a:stretch>
                  </pic:blipFill>
                  <pic:spPr>
                    <a:xfrm>
                      <a:off x="0" y="0"/>
                      <a:ext cx="5427980" cy="4972050"/>
                    </a:xfrm>
                    <a:prstGeom prst="rect">
                      <a:avLst/>
                    </a:prstGeom>
                  </pic:spPr>
                </pic:pic>
              </a:graphicData>
            </a:graphic>
          </wp:anchor>
        </w:drawing>
      </w:r>
    </w:p>
    <w:p w:rsidR="00FA620A" w:rsidRDefault="00FA620A" w:rsidP="00FA620A">
      <w:pPr>
        <w:pStyle w:val="Paragraphedeliste"/>
        <w:spacing w:line="240" w:lineRule="auto"/>
        <w:jc w:val="both"/>
        <w:rPr>
          <w:rFonts w:ascii="Tw Cen MT" w:hAnsi="Tw Cen MT"/>
          <w:sz w:val="24"/>
          <w:szCs w:val="28"/>
        </w:rPr>
      </w:pPr>
    </w:p>
    <w:p w:rsidR="00FA620A" w:rsidRDefault="00FA620A" w:rsidP="00FA620A">
      <w:pPr>
        <w:pStyle w:val="Paragraphedeliste"/>
        <w:spacing w:line="240" w:lineRule="auto"/>
        <w:jc w:val="both"/>
        <w:rPr>
          <w:rFonts w:ascii="Tw Cen MT" w:hAnsi="Tw Cen MT"/>
          <w:sz w:val="24"/>
          <w:szCs w:val="28"/>
        </w:rPr>
      </w:pPr>
    </w:p>
    <w:p w:rsidR="00FA620A" w:rsidRDefault="00FA620A" w:rsidP="00FA620A">
      <w:pPr>
        <w:pStyle w:val="Paragraphedeliste"/>
        <w:spacing w:line="240" w:lineRule="auto"/>
        <w:jc w:val="both"/>
        <w:rPr>
          <w:rFonts w:ascii="Tw Cen MT" w:hAnsi="Tw Cen MT"/>
          <w:sz w:val="24"/>
          <w:szCs w:val="28"/>
        </w:rPr>
      </w:pPr>
    </w:p>
    <w:p w:rsidR="00FA620A" w:rsidRDefault="00FA620A" w:rsidP="00FA620A">
      <w:pPr>
        <w:pStyle w:val="Paragraphedeliste"/>
        <w:spacing w:line="240" w:lineRule="auto"/>
        <w:jc w:val="both"/>
        <w:rPr>
          <w:rFonts w:ascii="Tw Cen MT" w:hAnsi="Tw Cen MT"/>
          <w:sz w:val="24"/>
          <w:szCs w:val="28"/>
        </w:rPr>
      </w:pPr>
    </w:p>
    <w:p w:rsidR="00FA620A" w:rsidRDefault="00FA620A" w:rsidP="00FA620A">
      <w:pPr>
        <w:pStyle w:val="Paragraphedeliste"/>
        <w:spacing w:line="240" w:lineRule="auto"/>
        <w:jc w:val="both"/>
        <w:rPr>
          <w:rFonts w:ascii="Tw Cen MT" w:hAnsi="Tw Cen MT"/>
          <w:sz w:val="24"/>
          <w:szCs w:val="28"/>
        </w:rPr>
      </w:pPr>
    </w:p>
    <w:p w:rsidR="00FA620A" w:rsidRDefault="00FA620A" w:rsidP="00FA620A">
      <w:pPr>
        <w:pStyle w:val="Paragraphedeliste"/>
        <w:spacing w:line="240" w:lineRule="auto"/>
        <w:jc w:val="both"/>
        <w:rPr>
          <w:rFonts w:ascii="Tw Cen MT" w:hAnsi="Tw Cen MT"/>
          <w:sz w:val="24"/>
          <w:szCs w:val="28"/>
        </w:rPr>
      </w:pPr>
    </w:p>
    <w:p w:rsidR="00FA620A" w:rsidRPr="00CF2EB9" w:rsidRDefault="00FA620A" w:rsidP="00FA620A">
      <w:pPr>
        <w:spacing w:line="240" w:lineRule="auto"/>
        <w:ind w:left="360"/>
        <w:jc w:val="both"/>
        <w:rPr>
          <w:rFonts w:ascii="Tw Cen MT" w:hAnsi="Tw Cen MT"/>
          <w:b/>
          <w:color w:val="FF0000"/>
          <w:sz w:val="24"/>
          <w:szCs w:val="28"/>
        </w:rPr>
      </w:pPr>
    </w:p>
    <w:p w:rsidR="00831D32" w:rsidRDefault="00831D32" w:rsidP="00192137">
      <w:pPr>
        <w:contextualSpacing/>
        <w:rPr>
          <w:rFonts w:ascii="Tw Cen MT" w:hAnsi="Tw Cen MT"/>
          <w:b/>
          <w:color w:val="FF0000"/>
          <w:sz w:val="24"/>
          <w:szCs w:val="28"/>
        </w:rPr>
      </w:pPr>
    </w:p>
    <w:p w:rsidR="00BD714E" w:rsidRDefault="00172418" w:rsidP="00192137">
      <w:pPr>
        <w:contextualSpacing/>
        <w:rPr>
          <w:rFonts w:ascii="Tw Cen MT" w:hAnsi="Tw Cen MT"/>
          <w:b/>
          <w:color w:val="FF0000"/>
          <w:sz w:val="24"/>
          <w:szCs w:val="28"/>
        </w:rPr>
      </w:pPr>
      <w:r>
        <w:rPr>
          <w:rFonts w:ascii="Tw Cen MT" w:hAnsi="Tw Cen MT"/>
          <w:b/>
          <w:noProof/>
          <w:color w:val="FF0000"/>
          <w:sz w:val="24"/>
          <w:szCs w:val="28"/>
        </w:rPr>
        <w:pict>
          <v:shape id="_x0000_s1034" type="#_x0000_t202" style="position:absolute;margin-left:0;margin-top:262.4pt;width:225pt;height:64.05pt;z-index:251667456;mso-width-relative:margin;mso-height-relative:margin" filled="f" stroked="f">
            <v:textbox style="mso-next-textbox:#_x0000_s1034" inset="0,0,0,0">
              <w:txbxContent>
                <w:p w:rsidR="00FA620A" w:rsidRPr="00CF2EB9" w:rsidRDefault="00FA620A" w:rsidP="00FA620A">
                  <w:pPr>
                    <w:pStyle w:val="Paragraphedeliste"/>
                    <w:spacing w:line="240" w:lineRule="auto"/>
                    <w:ind w:left="0"/>
                    <w:jc w:val="center"/>
                    <w:rPr>
                      <w:rFonts w:ascii="Tw Cen MT" w:hAnsi="Tw Cen MT"/>
                      <w:sz w:val="24"/>
                      <w:szCs w:val="28"/>
                    </w:rPr>
                  </w:pPr>
                  <w:r w:rsidRPr="00CF2EB9">
                    <w:rPr>
                      <w:rFonts w:ascii="Tw Cen MT" w:hAnsi="Tw Cen MT"/>
                      <w:sz w:val="24"/>
                      <w:szCs w:val="28"/>
                    </w:rPr>
                    <w:t>Salle de Don Bosco Sport Nantes</w:t>
                  </w:r>
                </w:p>
                <w:p w:rsidR="00FA620A" w:rsidRPr="00CF2EB9" w:rsidRDefault="00FA620A" w:rsidP="00FA620A">
                  <w:pPr>
                    <w:pStyle w:val="Paragraphedeliste"/>
                    <w:spacing w:line="240" w:lineRule="auto"/>
                    <w:ind w:left="0"/>
                    <w:jc w:val="center"/>
                    <w:rPr>
                      <w:rFonts w:ascii="Tw Cen MT" w:hAnsi="Tw Cen MT"/>
                      <w:sz w:val="24"/>
                      <w:szCs w:val="28"/>
                    </w:rPr>
                  </w:pPr>
                  <w:r w:rsidRPr="00CF2EB9">
                    <w:rPr>
                      <w:rFonts w:ascii="Tw Cen MT" w:hAnsi="Tw Cen MT"/>
                      <w:sz w:val="24"/>
                      <w:szCs w:val="28"/>
                    </w:rPr>
                    <w:t>Rue du stade de la Noue</w:t>
                  </w:r>
                </w:p>
                <w:p w:rsidR="00FA620A" w:rsidRPr="00CF2EB9" w:rsidRDefault="00FA620A" w:rsidP="00FA620A">
                  <w:pPr>
                    <w:pStyle w:val="Paragraphedeliste"/>
                    <w:spacing w:line="240" w:lineRule="auto"/>
                    <w:ind w:left="0"/>
                    <w:jc w:val="center"/>
                    <w:rPr>
                      <w:rFonts w:ascii="Tw Cen MT" w:hAnsi="Tw Cen MT"/>
                      <w:sz w:val="24"/>
                      <w:szCs w:val="28"/>
                    </w:rPr>
                  </w:pPr>
                  <w:r w:rsidRPr="00CF2EB9">
                    <w:rPr>
                      <w:rFonts w:ascii="Tw Cen MT" w:hAnsi="Tw Cen MT"/>
                      <w:sz w:val="24"/>
                      <w:szCs w:val="28"/>
                    </w:rPr>
                    <w:t>44300 Nantes</w:t>
                  </w:r>
                </w:p>
                <w:p w:rsidR="00FA620A" w:rsidRPr="00CF2EB9" w:rsidRDefault="00FA620A" w:rsidP="00FA620A">
                  <w:pPr>
                    <w:pStyle w:val="Paragraphedeliste"/>
                    <w:spacing w:line="240" w:lineRule="auto"/>
                    <w:ind w:left="0"/>
                    <w:jc w:val="center"/>
                    <w:rPr>
                      <w:rFonts w:ascii="Tw Cen MT" w:hAnsi="Tw Cen MT"/>
                      <w:i/>
                      <w:sz w:val="24"/>
                      <w:szCs w:val="28"/>
                    </w:rPr>
                  </w:pPr>
                  <w:r w:rsidRPr="00CF2EB9">
                    <w:rPr>
                      <w:rFonts w:ascii="Tw Cen MT" w:hAnsi="Tw Cen MT"/>
                      <w:i/>
                      <w:sz w:val="24"/>
                      <w:szCs w:val="28"/>
                      <w:u w:val="single"/>
                    </w:rPr>
                    <w:t>Coordonnées GPS :</w:t>
                  </w:r>
                  <w:r w:rsidRPr="00CF2EB9">
                    <w:rPr>
                      <w:rFonts w:ascii="Tw Cen MT" w:hAnsi="Tw Cen MT"/>
                      <w:i/>
                      <w:sz w:val="24"/>
                      <w:szCs w:val="28"/>
                    </w:rPr>
                    <w:t xml:space="preserve"> 47.246824 ; -1.535626</w:t>
                  </w:r>
                </w:p>
                <w:p w:rsidR="00FA620A" w:rsidRDefault="00FA620A" w:rsidP="00FA620A"/>
              </w:txbxContent>
            </v:textbox>
          </v:shape>
        </w:pict>
      </w:r>
    </w:p>
    <w:p w:rsidR="00BD714E" w:rsidRDefault="00BD714E" w:rsidP="00192137">
      <w:pPr>
        <w:contextualSpacing/>
        <w:rPr>
          <w:rFonts w:ascii="Tw Cen MT" w:hAnsi="Tw Cen MT"/>
          <w:b/>
          <w:color w:val="FF0000"/>
          <w:sz w:val="24"/>
          <w:szCs w:val="28"/>
        </w:rPr>
        <w:sectPr w:rsidR="00BD714E" w:rsidSect="00661B80">
          <w:headerReference w:type="default" r:id="rId9"/>
          <w:pgSz w:w="11906" w:h="16838"/>
          <w:pgMar w:top="394" w:right="720" w:bottom="720" w:left="720" w:header="0" w:footer="708" w:gutter="0"/>
          <w:cols w:space="708"/>
          <w:docGrid w:linePitch="360"/>
        </w:sectPr>
      </w:pPr>
    </w:p>
    <w:p w:rsidR="00BD714E" w:rsidRDefault="00172418" w:rsidP="00192137">
      <w:pPr>
        <w:contextualSpacing/>
        <w:jc w:val="center"/>
        <w:rPr>
          <w:rFonts w:ascii="Tw Cen MT" w:hAnsi="Tw Cen MT"/>
          <w:b/>
          <w:sz w:val="40"/>
          <w:szCs w:val="28"/>
        </w:rPr>
      </w:pPr>
      <w:r>
        <w:rPr>
          <w:rFonts w:ascii="Tw Cen MT" w:hAnsi="Tw Cen MT"/>
          <w:b/>
          <w:noProof/>
          <w:sz w:val="40"/>
          <w:szCs w:val="28"/>
          <w:lang w:eastAsia="fr-FR"/>
        </w:rPr>
        <w:lastRenderedPageBreak/>
        <w:pict>
          <v:shape id="_x0000_s1031" type="#_x0000_t202" style="position:absolute;left:0;text-align:left;margin-left:-379.7pt;margin-top:12.75pt;width:379.65pt;height:93.2pt;z-index:-251653120;mso-position-horizontal-relative:right-margin-area;mso-position-vertical-relative:page;mso-width-relative:margin;mso-height-relative:margin" stroked="f">
            <v:fill opacity="0"/>
            <v:textbox style="mso-next-textbox:#_x0000_s1031" inset="0,0,0,0">
              <w:txbxContent>
                <w:p w:rsidR="00686220" w:rsidRPr="00BD714E" w:rsidRDefault="00686220" w:rsidP="00686220">
                  <w:pPr>
                    <w:spacing w:line="240" w:lineRule="auto"/>
                    <w:contextualSpacing/>
                    <w:jc w:val="right"/>
                    <w:rPr>
                      <w:rFonts w:ascii="Tw Cen MT" w:hAnsi="Tw Cen MT"/>
                      <w:b/>
                      <w:color w:val="FF0000"/>
                      <w:sz w:val="52"/>
                      <w:szCs w:val="56"/>
                    </w:rPr>
                  </w:pPr>
                  <w:r w:rsidRPr="00BD714E">
                    <w:rPr>
                      <w:rFonts w:ascii="Tw Cen MT" w:hAnsi="Tw Cen MT"/>
                      <w:b/>
                      <w:color w:val="FF0000"/>
                      <w:sz w:val="56"/>
                      <w:szCs w:val="56"/>
                    </w:rPr>
                    <w:t>Don Bosco Badminton Nantes</w:t>
                  </w:r>
                </w:p>
                <w:p w:rsidR="00686220" w:rsidRPr="00BD714E" w:rsidRDefault="00686220" w:rsidP="00686220">
                  <w:pPr>
                    <w:spacing w:line="240" w:lineRule="auto"/>
                    <w:contextualSpacing/>
                    <w:jc w:val="right"/>
                    <w:rPr>
                      <w:rFonts w:ascii="Tw Cen MT" w:hAnsi="Tw Cen MT"/>
                      <w:b/>
                      <w:i/>
                      <w:sz w:val="32"/>
                      <w:szCs w:val="28"/>
                    </w:rPr>
                  </w:pPr>
                  <w:r w:rsidRPr="00BD714E">
                    <w:rPr>
                      <w:rFonts w:ascii="Tw Cen MT" w:hAnsi="Tw Cen MT"/>
                      <w:b/>
                      <w:i/>
                      <w:sz w:val="32"/>
                      <w:szCs w:val="28"/>
                    </w:rPr>
                    <w:t xml:space="preserve">Tournoi de Doubles </w:t>
                  </w:r>
                  <w:r w:rsidR="007E2C2A">
                    <w:rPr>
                      <w:rFonts w:ascii="Tw Cen MT" w:hAnsi="Tw Cen MT"/>
                      <w:b/>
                      <w:i/>
                      <w:sz w:val="32"/>
                      <w:szCs w:val="28"/>
                    </w:rPr>
                    <w:t xml:space="preserve">et Mixte </w:t>
                  </w:r>
                  <w:r w:rsidRPr="00BD714E">
                    <w:rPr>
                      <w:rFonts w:ascii="Tw Cen MT" w:hAnsi="Tw Cen MT"/>
                      <w:b/>
                      <w:i/>
                      <w:sz w:val="32"/>
                      <w:szCs w:val="28"/>
                    </w:rPr>
                    <w:t>Vétéran</w:t>
                  </w:r>
                  <w:r>
                    <w:rPr>
                      <w:rFonts w:ascii="Tw Cen MT" w:hAnsi="Tw Cen MT"/>
                      <w:b/>
                      <w:i/>
                      <w:sz w:val="32"/>
                      <w:szCs w:val="28"/>
                    </w:rPr>
                    <w:t>s</w:t>
                  </w:r>
                </w:p>
                <w:p w:rsidR="00686220" w:rsidRPr="00BD714E" w:rsidRDefault="007E2C2A" w:rsidP="00686220">
                  <w:pPr>
                    <w:spacing w:line="240" w:lineRule="auto"/>
                    <w:contextualSpacing/>
                    <w:jc w:val="right"/>
                    <w:rPr>
                      <w:rFonts w:ascii="Tw Cen MT" w:hAnsi="Tw Cen MT"/>
                      <w:b/>
                      <w:i/>
                      <w:sz w:val="32"/>
                      <w:szCs w:val="28"/>
                    </w:rPr>
                  </w:pPr>
                  <w:r>
                    <w:rPr>
                      <w:rFonts w:ascii="Tw Cen MT" w:hAnsi="Tw Cen MT"/>
                      <w:b/>
                      <w:i/>
                      <w:sz w:val="32"/>
                      <w:szCs w:val="28"/>
                    </w:rPr>
                    <w:t>1er</w:t>
                  </w:r>
                  <w:r w:rsidR="00686220" w:rsidRPr="00BD714E">
                    <w:rPr>
                      <w:rFonts w:ascii="Tw Cen MT" w:hAnsi="Tw Cen MT"/>
                      <w:b/>
                      <w:i/>
                      <w:sz w:val="32"/>
                      <w:szCs w:val="28"/>
                    </w:rPr>
                    <w:t xml:space="preserve"> Novembre 201</w:t>
                  </w:r>
                  <w:r>
                    <w:rPr>
                      <w:rFonts w:ascii="Tw Cen MT" w:hAnsi="Tw Cen MT"/>
                      <w:b/>
                      <w:i/>
                      <w:sz w:val="32"/>
                      <w:szCs w:val="28"/>
                    </w:rPr>
                    <w:t>4</w:t>
                  </w:r>
                </w:p>
                <w:p w:rsidR="00192137" w:rsidRPr="00686220" w:rsidRDefault="00EA4DD2" w:rsidP="00EA4DD2">
                  <w:pPr>
                    <w:ind w:left="4956"/>
                    <w:rPr>
                      <w:szCs w:val="28"/>
                    </w:rPr>
                  </w:pPr>
                  <w:r>
                    <w:t xml:space="preserve">            N° </w:t>
                  </w:r>
                  <w:r>
                    <w:t>14.PL.44/</w:t>
                  </w:r>
                  <w:proofErr w:type="spellStart"/>
                  <w:r>
                    <w:t>Ti.L.V</w:t>
                  </w:r>
                  <w:proofErr w:type="spellEnd"/>
                  <w:r>
                    <w:t>/002</w:t>
                  </w:r>
                </w:p>
              </w:txbxContent>
            </v:textbox>
            <w10:wrap type="square" anchorx="page" anchory="page"/>
          </v:shape>
        </w:pict>
      </w:r>
      <w:r w:rsidR="00192137" w:rsidRPr="00192137">
        <w:rPr>
          <w:rFonts w:ascii="Tw Cen MT" w:hAnsi="Tw Cen MT"/>
          <w:b/>
          <w:sz w:val="40"/>
          <w:szCs w:val="28"/>
        </w:rPr>
        <w:t>Règlement particulier</w:t>
      </w:r>
    </w:p>
    <w:p w:rsidR="006F26BD" w:rsidRDefault="00F37A86" w:rsidP="00F37A86">
      <w:pPr>
        <w:pStyle w:val="SoustitreChapitre"/>
        <w:numPr>
          <w:ilvl w:val="1"/>
          <w:numId w:val="1"/>
        </w:numPr>
        <w:autoSpaceDE w:val="0"/>
        <w:autoSpaceDN w:val="0"/>
        <w:adjustRightInd w:val="0"/>
        <w:spacing w:after="0" w:line="240" w:lineRule="auto"/>
        <w:ind w:left="329" w:hanging="357"/>
        <w:contextualSpacing/>
        <w:jc w:val="both"/>
        <w:rPr>
          <w:rFonts w:ascii="Tw Cen MT" w:hAnsi="Tw Cen MT" w:cs="Arial"/>
          <w:color w:val="000000"/>
          <w:sz w:val="18"/>
          <w:szCs w:val="18"/>
        </w:rPr>
      </w:pPr>
      <w:r w:rsidRPr="006F26BD">
        <w:rPr>
          <w:rFonts w:ascii="Tw Cen MT" w:hAnsi="Tw Cen MT" w:cs="Arial"/>
          <w:color w:val="000000"/>
          <w:sz w:val="18"/>
          <w:szCs w:val="18"/>
        </w:rPr>
        <w:t xml:space="preserve">Le tournoi est ouvert aux joueurs des Pays de La Loire et aux ligues limitrophes. Il se déroule selon le Règlement Général des Compétitions (RGC) de la </w:t>
      </w:r>
      <w:proofErr w:type="spellStart"/>
      <w:r w:rsidRPr="006F26BD">
        <w:rPr>
          <w:rFonts w:ascii="Tw Cen MT" w:hAnsi="Tw Cen MT" w:cs="Arial"/>
          <w:color w:val="000000"/>
          <w:sz w:val="18"/>
          <w:szCs w:val="18"/>
        </w:rPr>
        <w:t>FFBaD</w:t>
      </w:r>
      <w:proofErr w:type="spellEnd"/>
      <w:r w:rsidRPr="006F26BD">
        <w:rPr>
          <w:rFonts w:ascii="Tw Cen MT" w:hAnsi="Tw Cen MT" w:cs="Arial"/>
          <w:color w:val="000000"/>
          <w:sz w:val="18"/>
          <w:szCs w:val="18"/>
        </w:rPr>
        <w:t>. Il est autorisé sous le n°</w:t>
      </w:r>
      <w:r w:rsidR="00EA4DD2">
        <w:rPr>
          <w:rFonts w:ascii="Tw Cen MT" w:hAnsi="Tw Cen MT" w:cs="Arial"/>
          <w:color w:val="000000"/>
          <w:sz w:val="18"/>
          <w:szCs w:val="18"/>
        </w:rPr>
        <w:t xml:space="preserve"> </w:t>
      </w:r>
      <w:r w:rsidR="00EA4DD2" w:rsidRPr="00EA4DD2">
        <w:rPr>
          <w:rFonts w:ascii="Tw Cen MT" w:hAnsi="Tw Cen MT" w:cs="Arial"/>
          <w:color w:val="000000"/>
          <w:sz w:val="18"/>
          <w:szCs w:val="18"/>
        </w:rPr>
        <w:t>14.PL.44/</w:t>
      </w:r>
      <w:proofErr w:type="spellStart"/>
      <w:r w:rsidR="00EA4DD2" w:rsidRPr="00EA4DD2">
        <w:rPr>
          <w:rFonts w:ascii="Tw Cen MT" w:hAnsi="Tw Cen MT" w:cs="Arial"/>
          <w:color w:val="000000"/>
          <w:sz w:val="18"/>
          <w:szCs w:val="18"/>
        </w:rPr>
        <w:t>Ti.L.V</w:t>
      </w:r>
      <w:proofErr w:type="spellEnd"/>
      <w:r w:rsidR="00EA4DD2" w:rsidRPr="00EA4DD2">
        <w:rPr>
          <w:rFonts w:ascii="Tw Cen MT" w:hAnsi="Tw Cen MT" w:cs="Arial"/>
          <w:color w:val="000000"/>
          <w:sz w:val="18"/>
          <w:szCs w:val="18"/>
        </w:rPr>
        <w:t>/002</w:t>
      </w:r>
      <w:r w:rsidRPr="006F26BD">
        <w:rPr>
          <w:rFonts w:ascii="Tw Cen MT" w:hAnsi="Tw Cen MT" w:cs="Arial"/>
          <w:color w:val="000000"/>
          <w:sz w:val="18"/>
          <w:szCs w:val="18"/>
        </w:rPr>
        <w:t xml:space="preserve"> </w:t>
      </w:r>
    </w:p>
    <w:p w:rsidR="00F37A86" w:rsidRPr="006F26BD" w:rsidRDefault="00F37A86" w:rsidP="00F37A86">
      <w:pPr>
        <w:pStyle w:val="SoustitreChapitre"/>
        <w:numPr>
          <w:ilvl w:val="1"/>
          <w:numId w:val="1"/>
        </w:numPr>
        <w:autoSpaceDE w:val="0"/>
        <w:autoSpaceDN w:val="0"/>
        <w:adjustRightInd w:val="0"/>
        <w:spacing w:after="0" w:line="240" w:lineRule="auto"/>
        <w:ind w:left="329" w:hanging="357"/>
        <w:contextualSpacing/>
        <w:jc w:val="both"/>
        <w:rPr>
          <w:rFonts w:ascii="Tw Cen MT" w:hAnsi="Tw Cen MT" w:cs="Arial"/>
          <w:color w:val="000000"/>
          <w:sz w:val="18"/>
          <w:szCs w:val="18"/>
        </w:rPr>
      </w:pPr>
      <w:r w:rsidRPr="006F26BD">
        <w:rPr>
          <w:rFonts w:ascii="Tw Cen MT" w:hAnsi="Tw Cen MT" w:cs="Arial"/>
          <w:color w:val="000000"/>
          <w:sz w:val="18"/>
          <w:szCs w:val="18"/>
        </w:rPr>
        <w:t xml:space="preserve">Le Juge Arbitre du tournoi est </w:t>
      </w:r>
      <w:r w:rsidR="00473F9F">
        <w:rPr>
          <w:rFonts w:ascii="Tw Cen MT" w:hAnsi="Tw Cen MT" w:cs="Arial"/>
          <w:color w:val="000000"/>
          <w:sz w:val="18"/>
          <w:szCs w:val="18"/>
        </w:rPr>
        <w:t>PICHOT Annick</w:t>
      </w:r>
      <w:r w:rsidRPr="006F26BD">
        <w:rPr>
          <w:rFonts w:ascii="Tw Cen MT" w:hAnsi="Tw Cen MT" w:cs="Arial"/>
          <w:color w:val="000000"/>
          <w:sz w:val="18"/>
          <w:szCs w:val="18"/>
        </w:rPr>
        <w:t xml:space="preserve">. Les décisions du Juge Arbitre sont sans appel. Il est en droit de disqualifier partiellement ou totalement tout joueur ne respectant pas un ou plusieurs points des règlements. </w:t>
      </w:r>
    </w:p>
    <w:p w:rsidR="00F37A86" w:rsidRDefault="00F37A86" w:rsidP="00F37A86">
      <w:pPr>
        <w:pStyle w:val="SoustitreChapitre"/>
        <w:numPr>
          <w:ilvl w:val="1"/>
          <w:numId w:val="1"/>
        </w:numPr>
        <w:autoSpaceDE w:val="0"/>
        <w:autoSpaceDN w:val="0"/>
        <w:adjustRightInd w:val="0"/>
        <w:spacing w:after="0" w:line="240" w:lineRule="auto"/>
        <w:ind w:left="329" w:hanging="357"/>
        <w:contextualSpacing/>
        <w:jc w:val="both"/>
        <w:rPr>
          <w:rFonts w:ascii="Tw Cen MT" w:hAnsi="Tw Cen MT" w:cs="Arial"/>
          <w:color w:val="000000"/>
          <w:sz w:val="18"/>
          <w:szCs w:val="18"/>
        </w:rPr>
      </w:pPr>
      <w:r w:rsidRPr="00F37A86">
        <w:rPr>
          <w:rFonts w:ascii="Tw Cen MT" w:hAnsi="Tw Cen MT" w:cs="Arial"/>
          <w:color w:val="000000"/>
          <w:sz w:val="18"/>
          <w:szCs w:val="18"/>
        </w:rPr>
        <w:t>Tout participant doit être en règle avec la FFBaD, être en possession de sa licence 201</w:t>
      </w:r>
      <w:r w:rsidR="00473F9F">
        <w:rPr>
          <w:rFonts w:ascii="Tw Cen MT" w:hAnsi="Tw Cen MT" w:cs="Arial"/>
          <w:color w:val="000000"/>
          <w:sz w:val="18"/>
          <w:szCs w:val="18"/>
        </w:rPr>
        <w:t>4/2015</w:t>
      </w:r>
      <w:r w:rsidRPr="00F37A86">
        <w:rPr>
          <w:rFonts w:ascii="Tw Cen MT" w:hAnsi="Tw Cen MT" w:cs="Arial"/>
          <w:color w:val="000000"/>
          <w:sz w:val="18"/>
          <w:szCs w:val="18"/>
        </w:rPr>
        <w:t xml:space="preserve"> le jour du tournoi et ne devra pas faire l'objet d'une suspension.</w:t>
      </w:r>
    </w:p>
    <w:p w:rsidR="00F37A86" w:rsidRDefault="00F37A86" w:rsidP="00F37A86">
      <w:pPr>
        <w:pStyle w:val="SoustitreChapitre"/>
        <w:numPr>
          <w:ilvl w:val="1"/>
          <w:numId w:val="1"/>
        </w:numPr>
        <w:autoSpaceDE w:val="0"/>
        <w:autoSpaceDN w:val="0"/>
        <w:adjustRightInd w:val="0"/>
        <w:spacing w:after="0" w:line="240" w:lineRule="auto"/>
        <w:ind w:left="329" w:hanging="357"/>
        <w:contextualSpacing/>
        <w:jc w:val="both"/>
        <w:rPr>
          <w:rFonts w:ascii="Tw Cen MT" w:hAnsi="Tw Cen MT" w:cs="Arial"/>
          <w:color w:val="000000"/>
          <w:sz w:val="18"/>
          <w:szCs w:val="18"/>
        </w:rPr>
      </w:pPr>
      <w:r w:rsidRPr="00F37A86">
        <w:rPr>
          <w:rFonts w:ascii="Tw Cen MT" w:hAnsi="Tw Cen MT" w:cs="Arial"/>
          <w:color w:val="000000"/>
          <w:sz w:val="18"/>
          <w:szCs w:val="18"/>
        </w:rPr>
        <w:t>Un joueur sélectionné pour une compétition régionale, interrégionale ou nationale ne pourra pas participer le même jour au tournoi.</w:t>
      </w:r>
    </w:p>
    <w:p w:rsidR="00F37A86" w:rsidRDefault="00F37A86" w:rsidP="00F37A86">
      <w:pPr>
        <w:pStyle w:val="SoustitreChapitre"/>
        <w:numPr>
          <w:ilvl w:val="1"/>
          <w:numId w:val="1"/>
        </w:numPr>
        <w:autoSpaceDE w:val="0"/>
        <w:autoSpaceDN w:val="0"/>
        <w:adjustRightInd w:val="0"/>
        <w:spacing w:after="0" w:line="240" w:lineRule="auto"/>
        <w:ind w:left="329" w:hanging="357"/>
        <w:contextualSpacing/>
        <w:jc w:val="both"/>
        <w:rPr>
          <w:rFonts w:ascii="Tw Cen MT" w:hAnsi="Tw Cen MT" w:cs="Arial"/>
          <w:color w:val="000000"/>
          <w:sz w:val="18"/>
          <w:szCs w:val="18"/>
        </w:rPr>
      </w:pPr>
      <w:r w:rsidRPr="00F37A86">
        <w:rPr>
          <w:rFonts w:ascii="Tw Cen MT" w:hAnsi="Tw Cen MT" w:cs="Arial"/>
          <w:color w:val="000000"/>
          <w:sz w:val="18"/>
          <w:szCs w:val="18"/>
        </w:rPr>
        <w:t>Les tableaux de</w:t>
      </w:r>
      <w:r w:rsidR="00473F9F">
        <w:rPr>
          <w:rFonts w:ascii="Tw Cen MT" w:hAnsi="Tw Cen MT" w:cs="Arial"/>
          <w:color w:val="000000"/>
          <w:sz w:val="18"/>
          <w:szCs w:val="18"/>
        </w:rPr>
        <w:t xml:space="preserve"> doubles et de mixte vétéran</w:t>
      </w:r>
      <w:r w:rsidRPr="00F37A86">
        <w:rPr>
          <w:rFonts w:ascii="Tw Cen MT" w:hAnsi="Tw Cen MT" w:cs="Arial"/>
          <w:color w:val="000000"/>
          <w:sz w:val="18"/>
          <w:szCs w:val="18"/>
        </w:rPr>
        <w:t xml:space="preserve"> se joueront le samedi </w:t>
      </w:r>
      <w:r w:rsidR="00473F9F">
        <w:rPr>
          <w:rFonts w:ascii="Tw Cen MT" w:hAnsi="Tw Cen MT" w:cs="Arial"/>
          <w:color w:val="000000"/>
          <w:sz w:val="18"/>
          <w:szCs w:val="18"/>
        </w:rPr>
        <w:t>1er novembre 2014</w:t>
      </w:r>
      <w:r w:rsidRPr="00F37A86">
        <w:rPr>
          <w:rFonts w:ascii="Tw Cen MT" w:hAnsi="Tw Cen MT" w:cs="Arial"/>
          <w:color w:val="000000"/>
          <w:sz w:val="18"/>
          <w:szCs w:val="18"/>
        </w:rPr>
        <w:t>.</w:t>
      </w:r>
    </w:p>
    <w:p w:rsidR="00F37A86" w:rsidRDefault="00F37A86" w:rsidP="00F37A86">
      <w:pPr>
        <w:pStyle w:val="SoustitreChapitre"/>
        <w:numPr>
          <w:ilvl w:val="1"/>
          <w:numId w:val="1"/>
        </w:numPr>
        <w:autoSpaceDE w:val="0"/>
        <w:autoSpaceDN w:val="0"/>
        <w:adjustRightInd w:val="0"/>
        <w:spacing w:after="0" w:line="240" w:lineRule="auto"/>
        <w:ind w:left="329" w:hanging="357"/>
        <w:contextualSpacing/>
        <w:jc w:val="both"/>
        <w:rPr>
          <w:rFonts w:ascii="Tw Cen MT" w:hAnsi="Tw Cen MT" w:cs="Arial"/>
          <w:color w:val="000000"/>
          <w:sz w:val="18"/>
          <w:szCs w:val="18"/>
        </w:rPr>
      </w:pPr>
      <w:r w:rsidRPr="00F37A86">
        <w:rPr>
          <w:rFonts w:ascii="Tw Cen MT" w:hAnsi="Tw Cen MT" w:cs="Arial"/>
          <w:color w:val="000000"/>
          <w:sz w:val="18"/>
          <w:szCs w:val="18"/>
        </w:rPr>
        <w:t>La date limite d’i</w:t>
      </w:r>
      <w:r w:rsidR="00473F9F">
        <w:rPr>
          <w:rFonts w:ascii="Tw Cen MT" w:hAnsi="Tw Cen MT" w:cs="Arial"/>
          <w:color w:val="000000"/>
          <w:sz w:val="18"/>
          <w:szCs w:val="18"/>
        </w:rPr>
        <w:t>nscription est fixée au lundi 20 octobre 2014</w:t>
      </w:r>
      <w:r w:rsidRPr="00F37A86">
        <w:rPr>
          <w:rFonts w:ascii="Tw Cen MT" w:hAnsi="Tw Cen MT" w:cs="Arial"/>
          <w:color w:val="000000"/>
          <w:sz w:val="18"/>
          <w:szCs w:val="18"/>
        </w:rPr>
        <w:t xml:space="preserve"> (date de réception). Les droits d’engagements sont de</w:t>
      </w:r>
      <w:r w:rsidR="00D005E3">
        <w:rPr>
          <w:rFonts w:ascii="Tw Cen MT" w:hAnsi="Tw Cen MT" w:cs="Arial"/>
          <w:color w:val="000000"/>
          <w:sz w:val="18"/>
          <w:szCs w:val="18"/>
        </w:rPr>
        <w:t xml:space="preserve"> 11</w:t>
      </w:r>
      <w:r w:rsidR="000C1189">
        <w:rPr>
          <w:rFonts w:ascii="Tw Cen MT" w:hAnsi="Tw Cen MT" w:cs="Arial"/>
          <w:color w:val="000000"/>
          <w:sz w:val="18"/>
          <w:szCs w:val="18"/>
        </w:rPr>
        <w:t xml:space="preserve"> € pour un tableau vétéran</w:t>
      </w:r>
      <w:r w:rsidR="00A90669">
        <w:rPr>
          <w:rFonts w:ascii="Tw Cen MT" w:hAnsi="Tw Cen MT" w:cs="Arial"/>
          <w:color w:val="000000"/>
          <w:sz w:val="18"/>
          <w:szCs w:val="18"/>
        </w:rPr>
        <w:t xml:space="preserve"> (ou 15€ pour 2 tableaux pour les classés C)</w:t>
      </w:r>
      <w:r w:rsidRPr="00F37A86">
        <w:rPr>
          <w:rFonts w:ascii="Tw Cen MT" w:hAnsi="Tw Cen MT" w:cs="Arial"/>
          <w:color w:val="000000"/>
          <w:sz w:val="18"/>
          <w:szCs w:val="18"/>
        </w:rPr>
        <w:t>. Les inscriptions se font exclusivement par courrier avec un chèque joint à l’ordre du DBBN. Aucune inscription ne sera possible par mail ou par téléphone.</w:t>
      </w:r>
    </w:p>
    <w:p w:rsidR="00F37A86" w:rsidRDefault="00F37A86" w:rsidP="00F37A86">
      <w:pPr>
        <w:pStyle w:val="SoustitreChapitre"/>
        <w:numPr>
          <w:ilvl w:val="1"/>
          <w:numId w:val="1"/>
        </w:numPr>
        <w:autoSpaceDE w:val="0"/>
        <w:autoSpaceDN w:val="0"/>
        <w:adjustRightInd w:val="0"/>
        <w:spacing w:after="0" w:line="240" w:lineRule="auto"/>
        <w:ind w:left="329" w:hanging="357"/>
        <w:contextualSpacing/>
        <w:jc w:val="both"/>
        <w:rPr>
          <w:rFonts w:ascii="Tw Cen MT" w:hAnsi="Tw Cen MT" w:cs="Arial"/>
          <w:color w:val="000000"/>
          <w:sz w:val="18"/>
          <w:szCs w:val="18"/>
        </w:rPr>
      </w:pPr>
      <w:r w:rsidRPr="00F37A86">
        <w:rPr>
          <w:rFonts w:ascii="Tw Cen MT" w:hAnsi="Tw Cen MT" w:cs="Arial"/>
          <w:color w:val="000000"/>
          <w:sz w:val="18"/>
          <w:szCs w:val="18"/>
        </w:rPr>
        <w:t xml:space="preserve">Les </w:t>
      </w:r>
      <w:proofErr w:type="gramStart"/>
      <w:r w:rsidRPr="00F37A86">
        <w:rPr>
          <w:rFonts w:ascii="Tw Cen MT" w:hAnsi="Tw Cen MT" w:cs="Arial"/>
          <w:color w:val="000000"/>
          <w:sz w:val="18"/>
          <w:szCs w:val="18"/>
        </w:rPr>
        <w:t>joueurs</w:t>
      </w:r>
      <w:r w:rsidR="00473F9F">
        <w:rPr>
          <w:rFonts w:ascii="Tw Cen MT" w:hAnsi="Tw Cen MT" w:cs="Arial"/>
          <w:color w:val="000000"/>
          <w:sz w:val="18"/>
          <w:szCs w:val="18"/>
        </w:rPr>
        <w:t>(</w:t>
      </w:r>
      <w:proofErr w:type="gramEnd"/>
      <w:r w:rsidR="00473F9F">
        <w:rPr>
          <w:rFonts w:ascii="Tw Cen MT" w:hAnsi="Tw Cen MT" w:cs="Arial"/>
          <w:color w:val="000000"/>
          <w:sz w:val="18"/>
          <w:szCs w:val="18"/>
        </w:rPr>
        <w:t>ses)</w:t>
      </w:r>
      <w:r w:rsidRPr="00F37A86">
        <w:rPr>
          <w:rFonts w:ascii="Tw Cen MT" w:hAnsi="Tw Cen MT" w:cs="Arial"/>
          <w:color w:val="000000"/>
          <w:sz w:val="18"/>
          <w:szCs w:val="18"/>
        </w:rPr>
        <w:t xml:space="preserve"> pourront s’inscrire dans un seul tableau</w:t>
      </w:r>
      <w:r w:rsidR="00A90669">
        <w:rPr>
          <w:rFonts w:ascii="Tw Cen MT" w:hAnsi="Tw Cen MT" w:cs="Arial"/>
          <w:color w:val="000000"/>
          <w:sz w:val="18"/>
          <w:szCs w:val="18"/>
        </w:rPr>
        <w:t xml:space="preserve"> sauf les classés C qui pourront s’inscrire sur 2 tableaux</w:t>
      </w:r>
      <w:r w:rsidRPr="00F37A86">
        <w:rPr>
          <w:rFonts w:ascii="Tw Cen MT" w:hAnsi="Tw Cen MT" w:cs="Arial"/>
          <w:color w:val="000000"/>
          <w:sz w:val="18"/>
          <w:szCs w:val="18"/>
        </w:rPr>
        <w:t>.</w:t>
      </w:r>
    </w:p>
    <w:p w:rsidR="00F37A86" w:rsidRDefault="00F37A86" w:rsidP="00F37A86">
      <w:pPr>
        <w:pStyle w:val="SoustitreChapitre"/>
        <w:numPr>
          <w:ilvl w:val="1"/>
          <w:numId w:val="1"/>
        </w:numPr>
        <w:autoSpaceDE w:val="0"/>
        <w:autoSpaceDN w:val="0"/>
        <w:adjustRightInd w:val="0"/>
        <w:spacing w:after="0" w:line="240" w:lineRule="auto"/>
        <w:ind w:left="329" w:hanging="357"/>
        <w:contextualSpacing/>
        <w:jc w:val="both"/>
        <w:rPr>
          <w:rFonts w:ascii="Tw Cen MT" w:hAnsi="Tw Cen MT" w:cs="Arial"/>
          <w:color w:val="000000"/>
          <w:sz w:val="18"/>
          <w:szCs w:val="18"/>
        </w:rPr>
      </w:pPr>
      <w:r w:rsidRPr="00F37A86">
        <w:rPr>
          <w:rFonts w:ascii="Tw Cen MT" w:hAnsi="Tw Cen MT" w:cs="Arial"/>
          <w:color w:val="000000"/>
          <w:sz w:val="18"/>
          <w:szCs w:val="18"/>
        </w:rPr>
        <w:t>La compétition se déroulera en poules, puis en élimination directe. Tous les tableaux seront constitués de poules de trois ou quatre, ou poule unique de 4 ou 5.</w:t>
      </w:r>
      <w:r w:rsidR="00A90669">
        <w:rPr>
          <w:rFonts w:ascii="Tw Cen MT" w:hAnsi="Tw Cen MT" w:cs="Arial"/>
          <w:color w:val="000000"/>
          <w:sz w:val="18"/>
          <w:szCs w:val="18"/>
        </w:rPr>
        <w:t xml:space="preserve"> </w:t>
      </w:r>
      <w:r w:rsidR="00A90669" w:rsidRPr="00A90669">
        <w:rPr>
          <w:rFonts w:ascii="Tw Cen MT" w:hAnsi="Tw Cen MT" w:cs="Arial"/>
          <w:color w:val="000000"/>
          <w:sz w:val="18"/>
          <w:szCs w:val="18"/>
        </w:rPr>
        <w:t>Dans la mesure du possible, il y aura 2 sortants dans les poules de 3 et de 4 dans le cas où le nombre</w:t>
      </w:r>
      <w:r w:rsidR="00A90669">
        <w:rPr>
          <w:rFonts w:ascii="Tw Cen MT" w:hAnsi="Tw Cen MT" w:cs="Arial"/>
          <w:color w:val="000000"/>
          <w:sz w:val="18"/>
          <w:szCs w:val="18"/>
        </w:rPr>
        <w:t xml:space="preserve"> de matchs reste en dessous des </w:t>
      </w:r>
      <w:r w:rsidR="00A90669" w:rsidRPr="00A90669">
        <w:rPr>
          <w:rFonts w:ascii="Tw Cen MT" w:hAnsi="Tw Cen MT" w:cs="Arial"/>
          <w:color w:val="000000"/>
          <w:sz w:val="18"/>
          <w:szCs w:val="18"/>
        </w:rPr>
        <w:t>8 matchs par jour et par joueur.</w:t>
      </w:r>
      <w:r w:rsidR="00A90669">
        <w:rPr>
          <w:rFonts w:ascii="Tw Cen MT" w:hAnsi="Tw Cen MT" w:cs="Arial"/>
          <w:color w:val="000000"/>
          <w:sz w:val="18"/>
          <w:szCs w:val="18"/>
        </w:rPr>
        <w:t xml:space="preserve"> </w:t>
      </w:r>
      <w:r w:rsidR="00A90669" w:rsidRPr="00A90669">
        <w:rPr>
          <w:rFonts w:ascii="Tw Cen MT" w:hAnsi="Tw Cen MT" w:cs="Arial"/>
          <w:color w:val="000000"/>
          <w:sz w:val="18"/>
          <w:szCs w:val="18"/>
        </w:rPr>
        <w:t>Le comité d'organisation se réserve la possibilité de faire qu’un seul sortant par poules de 3 et/ou élimination directe pour ne pas dépasser le nombre de match maxi par joueur et par jour.</w:t>
      </w:r>
    </w:p>
    <w:p w:rsidR="00F37A86" w:rsidRDefault="00F37A86" w:rsidP="00F37A86">
      <w:pPr>
        <w:pStyle w:val="SoustitreChapitre"/>
        <w:numPr>
          <w:ilvl w:val="1"/>
          <w:numId w:val="1"/>
        </w:numPr>
        <w:autoSpaceDE w:val="0"/>
        <w:autoSpaceDN w:val="0"/>
        <w:adjustRightInd w:val="0"/>
        <w:spacing w:after="0" w:line="240" w:lineRule="auto"/>
        <w:ind w:left="329" w:hanging="357"/>
        <w:contextualSpacing/>
        <w:jc w:val="both"/>
        <w:rPr>
          <w:rFonts w:ascii="Tw Cen MT" w:hAnsi="Tw Cen MT" w:cs="Arial"/>
          <w:color w:val="000000"/>
          <w:sz w:val="18"/>
          <w:szCs w:val="18"/>
        </w:rPr>
      </w:pPr>
      <w:r w:rsidRPr="00F37A86">
        <w:rPr>
          <w:rFonts w:ascii="Tw Cen MT" w:hAnsi="Tw Cen MT" w:cs="Arial"/>
          <w:color w:val="000000"/>
          <w:sz w:val="18"/>
          <w:szCs w:val="18"/>
        </w:rPr>
        <w:t>Une convocation sera adressée par mail au représentant du club indiqué sur la feuille d'inscription quelques jours avant la date du tournoi. Les joueurs ne recevant pas cette convocation devront contacter le comité d’organisation du tournoi.</w:t>
      </w:r>
    </w:p>
    <w:p w:rsidR="00F37A86" w:rsidRDefault="00F37A86" w:rsidP="00F37A86">
      <w:pPr>
        <w:pStyle w:val="SoustitreChapitre"/>
        <w:numPr>
          <w:ilvl w:val="1"/>
          <w:numId w:val="1"/>
        </w:numPr>
        <w:autoSpaceDE w:val="0"/>
        <w:autoSpaceDN w:val="0"/>
        <w:adjustRightInd w:val="0"/>
        <w:spacing w:after="0" w:line="240" w:lineRule="auto"/>
        <w:ind w:left="329" w:hanging="357"/>
        <w:contextualSpacing/>
        <w:jc w:val="both"/>
        <w:rPr>
          <w:rFonts w:ascii="Tw Cen MT" w:hAnsi="Tw Cen MT" w:cs="Arial"/>
          <w:color w:val="000000"/>
          <w:sz w:val="18"/>
          <w:szCs w:val="18"/>
        </w:rPr>
      </w:pPr>
      <w:r w:rsidRPr="00F37A86">
        <w:rPr>
          <w:rFonts w:ascii="Tw Cen MT" w:hAnsi="Tw Cen MT" w:cs="Arial"/>
          <w:color w:val="000000"/>
          <w:sz w:val="18"/>
          <w:szCs w:val="18"/>
        </w:rPr>
        <w:t>Les horaires des matchs sont donnés à titre indicatif. Tout joueur doit être présent 60 minutes avant son premier match et pointer dès son arrivée. Chaque joueur ayant commencé la compétition pourra ensuite être appelé jusqu’à une heure avant l’heure indicative de son prochain match.</w:t>
      </w:r>
    </w:p>
    <w:p w:rsidR="00F37A86" w:rsidRDefault="00F37A86" w:rsidP="00F37A86">
      <w:pPr>
        <w:pStyle w:val="SoustitreChapitre"/>
        <w:numPr>
          <w:ilvl w:val="1"/>
          <w:numId w:val="1"/>
        </w:numPr>
        <w:autoSpaceDE w:val="0"/>
        <w:autoSpaceDN w:val="0"/>
        <w:adjustRightInd w:val="0"/>
        <w:spacing w:after="0" w:line="240" w:lineRule="auto"/>
        <w:ind w:left="329" w:hanging="357"/>
        <w:contextualSpacing/>
        <w:jc w:val="both"/>
        <w:rPr>
          <w:rFonts w:ascii="Tw Cen MT" w:hAnsi="Tw Cen MT" w:cs="Arial"/>
          <w:color w:val="000000"/>
          <w:sz w:val="18"/>
          <w:szCs w:val="18"/>
        </w:rPr>
      </w:pPr>
      <w:r w:rsidRPr="00F37A86">
        <w:rPr>
          <w:rFonts w:ascii="Tw Cen MT" w:hAnsi="Tw Cen MT" w:cs="Arial"/>
          <w:color w:val="000000"/>
          <w:sz w:val="18"/>
          <w:szCs w:val="18"/>
        </w:rPr>
        <w:t xml:space="preserve">Les matches de poules et les phases éliminatoires seront en </w:t>
      </w:r>
      <w:proofErr w:type="spellStart"/>
      <w:r w:rsidRPr="00F37A86">
        <w:rPr>
          <w:rFonts w:ascii="Tw Cen MT" w:hAnsi="Tw Cen MT" w:cs="Arial"/>
          <w:color w:val="000000"/>
          <w:sz w:val="18"/>
          <w:szCs w:val="18"/>
        </w:rPr>
        <w:t>autoarbitrage</w:t>
      </w:r>
      <w:proofErr w:type="spellEnd"/>
      <w:r w:rsidRPr="00F37A86">
        <w:rPr>
          <w:rFonts w:ascii="Tw Cen MT" w:hAnsi="Tw Cen MT" w:cs="Arial"/>
          <w:color w:val="000000"/>
          <w:sz w:val="18"/>
          <w:szCs w:val="18"/>
        </w:rPr>
        <w:t xml:space="preserve">. Les finales seront en </w:t>
      </w:r>
      <w:proofErr w:type="spellStart"/>
      <w:r w:rsidRPr="00F37A86">
        <w:rPr>
          <w:rFonts w:ascii="Tw Cen MT" w:hAnsi="Tw Cen MT" w:cs="Arial"/>
          <w:color w:val="000000"/>
          <w:sz w:val="18"/>
          <w:szCs w:val="18"/>
        </w:rPr>
        <w:t>autoarbitrage</w:t>
      </w:r>
      <w:proofErr w:type="spellEnd"/>
      <w:r w:rsidRPr="00F37A86">
        <w:rPr>
          <w:rFonts w:ascii="Tw Cen MT" w:hAnsi="Tw Cen MT" w:cs="Arial"/>
          <w:color w:val="000000"/>
          <w:sz w:val="18"/>
          <w:szCs w:val="18"/>
        </w:rPr>
        <w:t>.</w:t>
      </w:r>
    </w:p>
    <w:p w:rsidR="00F37A86" w:rsidRDefault="00F37A86" w:rsidP="00F37A86">
      <w:pPr>
        <w:pStyle w:val="SoustitreChapitre"/>
        <w:numPr>
          <w:ilvl w:val="1"/>
          <w:numId w:val="1"/>
        </w:numPr>
        <w:autoSpaceDE w:val="0"/>
        <w:autoSpaceDN w:val="0"/>
        <w:adjustRightInd w:val="0"/>
        <w:spacing w:after="0" w:line="240" w:lineRule="auto"/>
        <w:ind w:left="329" w:hanging="357"/>
        <w:contextualSpacing/>
        <w:jc w:val="both"/>
        <w:rPr>
          <w:rFonts w:ascii="Tw Cen MT" w:hAnsi="Tw Cen MT" w:cs="Arial"/>
          <w:color w:val="000000"/>
          <w:sz w:val="18"/>
          <w:szCs w:val="18"/>
        </w:rPr>
      </w:pPr>
      <w:r w:rsidRPr="00F37A86">
        <w:rPr>
          <w:rFonts w:ascii="Tw Cen MT" w:hAnsi="Tw Cen MT" w:cs="Arial"/>
          <w:color w:val="000000"/>
          <w:sz w:val="18"/>
          <w:szCs w:val="18"/>
        </w:rPr>
        <w:t>Tout joueur non présent sur le terrain cinq minutes après l’appel de son match est susceptible d'être déclaré forfait par le juge arbitre</w:t>
      </w:r>
      <w:r>
        <w:rPr>
          <w:rFonts w:ascii="Tw Cen MT" w:hAnsi="Tw Cen MT" w:cs="Arial"/>
          <w:color w:val="000000"/>
          <w:sz w:val="18"/>
          <w:szCs w:val="18"/>
        </w:rPr>
        <w:t>.</w:t>
      </w:r>
    </w:p>
    <w:p w:rsidR="00F37A86" w:rsidRDefault="00F37A86" w:rsidP="00F37A86">
      <w:pPr>
        <w:pStyle w:val="SoustitreChapitre"/>
        <w:numPr>
          <w:ilvl w:val="1"/>
          <w:numId w:val="1"/>
        </w:numPr>
        <w:autoSpaceDE w:val="0"/>
        <w:autoSpaceDN w:val="0"/>
        <w:adjustRightInd w:val="0"/>
        <w:spacing w:after="0" w:line="240" w:lineRule="auto"/>
        <w:ind w:left="329" w:hanging="357"/>
        <w:contextualSpacing/>
        <w:jc w:val="both"/>
        <w:rPr>
          <w:rFonts w:ascii="Tw Cen MT" w:hAnsi="Tw Cen MT" w:cs="Arial"/>
          <w:color w:val="000000"/>
          <w:sz w:val="18"/>
          <w:szCs w:val="18"/>
        </w:rPr>
      </w:pPr>
      <w:r w:rsidRPr="00F37A86">
        <w:rPr>
          <w:rFonts w:ascii="Tw Cen MT" w:hAnsi="Tw Cen MT" w:cs="Arial"/>
          <w:color w:val="000000"/>
          <w:sz w:val="18"/>
          <w:szCs w:val="18"/>
        </w:rPr>
        <w:t>Tout joueur désirant s’absenter de la salle devra le signaler au juge arbitre et à la table de marque, sous peine d'être disqualifié à l'appel de son match.</w:t>
      </w:r>
    </w:p>
    <w:p w:rsidR="00F37A86" w:rsidRDefault="00F37A86" w:rsidP="00F37A86">
      <w:pPr>
        <w:pStyle w:val="SoustitreChapitre"/>
        <w:numPr>
          <w:ilvl w:val="1"/>
          <w:numId w:val="1"/>
        </w:numPr>
        <w:autoSpaceDE w:val="0"/>
        <w:autoSpaceDN w:val="0"/>
        <w:adjustRightInd w:val="0"/>
        <w:spacing w:after="0" w:line="240" w:lineRule="auto"/>
        <w:ind w:left="329" w:hanging="357"/>
        <w:contextualSpacing/>
        <w:jc w:val="both"/>
        <w:rPr>
          <w:rFonts w:ascii="Tw Cen MT" w:hAnsi="Tw Cen MT" w:cs="Arial"/>
          <w:color w:val="000000"/>
          <w:sz w:val="18"/>
          <w:szCs w:val="18"/>
        </w:rPr>
      </w:pPr>
      <w:r w:rsidRPr="00F37A86">
        <w:rPr>
          <w:rFonts w:ascii="Tw Cen MT" w:hAnsi="Tw Cen MT" w:cs="Arial"/>
          <w:color w:val="000000"/>
          <w:sz w:val="18"/>
          <w:szCs w:val="18"/>
        </w:rPr>
        <w:t>Le temps d’échauffement sera de 3 minutes, ce temps étant décompté à partir du moment où le match est appelé par la table de marque. Pendant ce temps, les volants seront testés, dès l’arrivée des participants sur le terrain. Le temps de repos entre 2 matchs est de 20 minutes. Il pourra être réduit avec l’accord des intéressés.</w:t>
      </w:r>
    </w:p>
    <w:p w:rsidR="00F37A86" w:rsidRDefault="00F37A86" w:rsidP="00F37A86">
      <w:pPr>
        <w:pStyle w:val="SoustitreChapitre"/>
        <w:numPr>
          <w:ilvl w:val="1"/>
          <w:numId w:val="1"/>
        </w:numPr>
        <w:autoSpaceDE w:val="0"/>
        <w:autoSpaceDN w:val="0"/>
        <w:adjustRightInd w:val="0"/>
        <w:spacing w:after="0" w:line="240" w:lineRule="auto"/>
        <w:ind w:left="329" w:hanging="357"/>
        <w:contextualSpacing/>
        <w:jc w:val="both"/>
        <w:rPr>
          <w:rFonts w:ascii="Tw Cen MT" w:hAnsi="Tw Cen MT" w:cs="Arial"/>
          <w:color w:val="000000"/>
          <w:sz w:val="18"/>
          <w:szCs w:val="18"/>
        </w:rPr>
      </w:pPr>
      <w:r w:rsidRPr="00F37A86">
        <w:rPr>
          <w:rFonts w:ascii="Tw Cen MT" w:hAnsi="Tw Cen MT" w:cs="Arial"/>
          <w:color w:val="000000"/>
          <w:sz w:val="18"/>
          <w:szCs w:val="18"/>
        </w:rPr>
        <w:t>Tout joueur devra se présenter sur le terrain avec un nombre suffisant de volants ainsi que tous les accessoires nécessaires pour son match.</w:t>
      </w:r>
    </w:p>
    <w:p w:rsidR="00F37A86" w:rsidRDefault="00F37A86" w:rsidP="00F37A86">
      <w:pPr>
        <w:pStyle w:val="SoustitreChapitre"/>
        <w:numPr>
          <w:ilvl w:val="1"/>
          <w:numId w:val="1"/>
        </w:numPr>
        <w:autoSpaceDE w:val="0"/>
        <w:autoSpaceDN w:val="0"/>
        <w:adjustRightInd w:val="0"/>
        <w:spacing w:after="0" w:line="240" w:lineRule="auto"/>
        <w:ind w:left="329" w:hanging="357"/>
        <w:contextualSpacing/>
        <w:jc w:val="both"/>
        <w:rPr>
          <w:rFonts w:ascii="Tw Cen MT" w:hAnsi="Tw Cen MT" w:cs="Arial"/>
          <w:color w:val="000000"/>
          <w:sz w:val="18"/>
          <w:szCs w:val="18"/>
        </w:rPr>
      </w:pPr>
      <w:r w:rsidRPr="00F37A86">
        <w:rPr>
          <w:rFonts w:ascii="Tw Cen MT" w:hAnsi="Tw Cen MT" w:cs="Arial"/>
          <w:color w:val="000000"/>
          <w:sz w:val="18"/>
          <w:szCs w:val="18"/>
        </w:rPr>
        <w:t xml:space="preserve">Les volants sont à la charge des joueurs. Les volants utilisés en cas de désaccord seront les </w:t>
      </w:r>
      <w:proofErr w:type="spellStart"/>
      <w:r w:rsidR="00473F9F">
        <w:rPr>
          <w:rFonts w:ascii="Tw Cen MT" w:hAnsi="Tw Cen MT" w:cs="Arial"/>
          <w:color w:val="000000"/>
          <w:sz w:val="18"/>
          <w:szCs w:val="18"/>
        </w:rPr>
        <w:t>Yonex</w:t>
      </w:r>
      <w:proofErr w:type="spellEnd"/>
      <w:r w:rsidR="00473F9F">
        <w:rPr>
          <w:rFonts w:ascii="Tw Cen MT" w:hAnsi="Tw Cen MT" w:cs="Arial"/>
          <w:color w:val="000000"/>
          <w:sz w:val="18"/>
          <w:szCs w:val="18"/>
        </w:rPr>
        <w:t xml:space="preserve"> TR</w:t>
      </w:r>
      <w:r w:rsidRPr="00F37A86">
        <w:rPr>
          <w:rFonts w:ascii="Tw Cen MT" w:hAnsi="Tw Cen MT" w:cs="Arial"/>
          <w:color w:val="000000"/>
          <w:sz w:val="18"/>
          <w:szCs w:val="18"/>
        </w:rPr>
        <w:t xml:space="preserve"> pour les classés, et les </w:t>
      </w:r>
      <w:proofErr w:type="spellStart"/>
      <w:r w:rsidR="006F26BD">
        <w:rPr>
          <w:rFonts w:ascii="Tw Cen MT" w:hAnsi="Tw Cen MT" w:cs="Arial"/>
          <w:color w:val="000000"/>
          <w:sz w:val="18"/>
          <w:szCs w:val="18"/>
        </w:rPr>
        <w:t>Yonex</w:t>
      </w:r>
      <w:proofErr w:type="spellEnd"/>
      <w:r w:rsidR="006F26BD">
        <w:rPr>
          <w:rFonts w:ascii="Tw Cen MT" w:hAnsi="Tw Cen MT" w:cs="Arial"/>
          <w:color w:val="000000"/>
          <w:sz w:val="18"/>
          <w:szCs w:val="18"/>
        </w:rPr>
        <w:t xml:space="preserve"> </w:t>
      </w:r>
      <w:proofErr w:type="spellStart"/>
      <w:r w:rsidR="006F26BD">
        <w:rPr>
          <w:rFonts w:ascii="Tw Cen MT" w:hAnsi="Tw Cen MT" w:cs="Arial"/>
          <w:color w:val="000000"/>
          <w:sz w:val="18"/>
          <w:szCs w:val="18"/>
        </w:rPr>
        <w:t>Mavis</w:t>
      </w:r>
      <w:proofErr w:type="spellEnd"/>
      <w:r w:rsidR="006F26BD">
        <w:rPr>
          <w:rFonts w:ascii="Tw Cen MT" w:hAnsi="Tw Cen MT" w:cs="Arial"/>
          <w:color w:val="000000"/>
          <w:sz w:val="18"/>
          <w:szCs w:val="18"/>
        </w:rPr>
        <w:t xml:space="preserve"> 370</w:t>
      </w:r>
      <w:r w:rsidRPr="00F37A86">
        <w:rPr>
          <w:rFonts w:ascii="Tw Cen MT" w:hAnsi="Tw Cen MT" w:cs="Arial"/>
          <w:color w:val="000000"/>
          <w:sz w:val="18"/>
          <w:szCs w:val="18"/>
        </w:rPr>
        <w:t xml:space="preserve"> pour les NC. Ces volants seront en vente dans la salle le jour du tournoi.</w:t>
      </w:r>
    </w:p>
    <w:p w:rsidR="00F37A86" w:rsidRDefault="00F37A86" w:rsidP="00F37A86">
      <w:pPr>
        <w:pStyle w:val="SoustitreChapitre"/>
        <w:numPr>
          <w:ilvl w:val="1"/>
          <w:numId w:val="1"/>
        </w:numPr>
        <w:autoSpaceDE w:val="0"/>
        <w:autoSpaceDN w:val="0"/>
        <w:adjustRightInd w:val="0"/>
        <w:spacing w:after="0" w:line="240" w:lineRule="auto"/>
        <w:ind w:left="329" w:hanging="357"/>
        <w:contextualSpacing/>
        <w:jc w:val="both"/>
        <w:rPr>
          <w:rFonts w:ascii="Tw Cen MT" w:hAnsi="Tw Cen MT" w:cs="Arial"/>
          <w:color w:val="000000"/>
          <w:sz w:val="18"/>
          <w:szCs w:val="18"/>
        </w:rPr>
      </w:pPr>
      <w:r w:rsidRPr="00F37A86">
        <w:rPr>
          <w:rFonts w:ascii="Tw Cen MT" w:hAnsi="Tw Cen MT" w:cs="Arial"/>
          <w:color w:val="000000"/>
          <w:sz w:val="18"/>
          <w:szCs w:val="18"/>
        </w:rPr>
        <w:t>Tout joueur participant à une compétition devra porter, sur le terrain, une tenue conforme au règlement FFBaD : short ou jupe et tee-shirt. Les tenues des équipes des comités départementaux et des Ligues sont interdites.</w:t>
      </w:r>
    </w:p>
    <w:p w:rsidR="00F37A86" w:rsidRDefault="00F37A86" w:rsidP="00F37A86">
      <w:pPr>
        <w:pStyle w:val="SoustitreChapitre"/>
        <w:numPr>
          <w:ilvl w:val="1"/>
          <w:numId w:val="1"/>
        </w:numPr>
        <w:autoSpaceDE w:val="0"/>
        <w:autoSpaceDN w:val="0"/>
        <w:adjustRightInd w:val="0"/>
        <w:spacing w:after="0" w:line="240" w:lineRule="auto"/>
        <w:ind w:left="329" w:hanging="357"/>
        <w:contextualSpacing/>
        <w:jc w:val="both"/>
        <w:rPr>
          <w:rFonts w:ascii="Tw Cen MT" w:hAnsi="Tw Cen MT" w:cs="Arial"/>
          <w:color w:val="000000"/>
          <w:sz w:val="18"/>
          <w:szCs w:val="18"/>
        </w:rPr>
      </w:pPr>
      <w:r w:rsidRPr="00F37A86">
        <w:rPr>
          <w:rFonts w:ascii="Tw Cen MT" w:hAnsi="Tw Cen MT" w:cs="Arial"/>
          <w:color w:val="000000"/>
          <w:sz w:val="18"/>
          <w:szCs w:val="18"/>
        </w:rPr>
        <w:t>Seuls auront accès au plateau de jeu les joueurs appelés pour un match, leurs entraîneurs (2 maximum par équipe), les organisateurs et les officiels. Le service médical pourra être autorisé à accéder aux terrains par le Juge arbitre.</w:t>
      </w:r>
    </w:p>
    <w:p w:rsidR="00F37A86" w:rsidRDefault="00F37A86" w:rsidP="00F37A86">
      <w:pPr>
        <w:pStyle w:val="SoustitreChapitre"/>
        <w:numPr>
          <w:ilvl w:val="1"/>
          <w:numId w:val="1"/>
        </w:numPr>
        <w:autoSpaceDE w:val="0"/>
        <w:autoSpaceDN w:val="0"/>
        <w:adjustRightInd w:val="0"/>
        <w:spacing w:after="0" w:line="240" w:lineRule="auto"/>
        <w:ind w:left="329" w:hanging="357"/>
        <w:contextualSpacing/>
        <w:jc w:val="both"/>
        <w:rPr>
          <w:rFonts w:ascii="Tw Cen MT" w:hAnsi="Tw Cen MT" w:cs="Arial"/>
          <w:color w:val="000000"/>
          <w:sz w:val="18"/>
          <w:szCs w:val="18"/>
        </w:rPr>
      </w:pPr>
      <w:r w:rsidRPr="00F37A86">
        <w:rPr>
          <w:rFonts w:ascii="Tw Cen MT" w:hAnsi="Tw Cen MT" w:cs="Arial"/>
          <w:color w:val="000000"/>
          <w:sz w:val="18"/>
          <w:szCs w:val="18"/>
        </w:rPr>
        <w:t>Chaque participant inscrit ayant déclaré forfait après la date du tirage au sort (samedi 2</w:t>
      </w:r>
      <w:r w:rsidR="00473F9F">
        <w:rPr>
          <w:rFonts w:ascii="Tw Cen MT" w:hAnsi="Tw Cen MT" w:cs="Arial"/>
          <w:color w:val="000000"/>
          <w:sz w:val="18"/>
          <w:szCs w:val="18"/>
        </w:rPr>
        <w:t>5 octobre 2014</w:t>
      </w:r>
      <w:r w:rsidRPr="00F37A86">
        <w:rPr>
          <w:rFonts w:ascii="Tw Cen MT" w:hAnsi="Tw Cen MT" w:cs="Arial"/>
          <w:color w:val="000000"/>
          <w:sz w:val="18"/>
          <w:szCs w:val="18"/>
        </w:rPr>
        <w:t>) devra prévenir le plu</w:t>
      </w:r>
      <w:r w:rsidR="006F26BD">
        <w:rPr>
          <w:rFonts w:ascii="Tw Cen MT" w:hAnsi="Tw Cen MT" w:cs="Arial"/>
          <w:color w:val="000000"/>
          <w:sz w:val="18"/>
          <w:szCs w:val="18"/>
        </w:rPr>
        <w:t xml:space="preserve">s </w:t>
      </w:r>
      <w:r w:rsidRPr="00F37A86">
        <w:rPr>
          <w:rFonts w:ascii="Tw Cen MT" w:hAnsi="Tw Cen MT" w:cs="Arial"/>
          <w:color w:val="000000"/>
          <w:sz w:val="18"/>
          <w:szCs w:val="18"/>
        </w:rPr>
        <w:t>tôt possible le club organisateur de sa non-participation et adressera au plus tard dans les 5 jours suivant la compétition les pièces justificatives à la ligue des Pays de Loire de Badminton (101, Rue Dupetit-Thouars 49000 Angers). Le remboursement des droits d’inscription sera accordé pour un forfait justifié au plus tard la veille du tournoi. Sans justificatif le licencié s'expose à deux mois de suspension de toute compétition, six mois pour une récidive, selon la circulaire 3.4 du guide du badminton.</w:t>
      </w:r>
    </w:p>
    <w:p w:rsidR="00F37A86" w:rsidRDefault="00F37A86" w:rsidP="00F37A86">
      <w:pPr>
        <w:pStyle w:val="SoustitreChapitre"/>
        <w:numPr>
          <w:ilvl w:val="1"/>
          <w:numId w:val="1"/>
        </w:numPr>
        <w:autoSpaceDE w:val="0"/>
        <w:autoSpaceDN w:val="0"/>
        <w:adjustRightInd w:val="0"/>
        <w:spacing w:after="0" w:line="240" w:lineRule="auto"/>
        <w:ind w:left="329" w:hanging="357"/>
        <w:contextualSpacing/>
        <w:jc w:val="both"/>
        <w:rPr>
          <w:rFonts w:ascii="Tw Cen MT" w:hAnsi="Tw Cen MT" w:cs="Arial"/>
          <w:color w:val="000000"/>
          <w:sz w:val="18"/>
          <w:szCs w:val="18"/>
        </w:rPr>
      </w:pPr>
      <w:r w:rsidRPr="00F37A86">
        <w:rPr>
          <w:rFonts w:ascii="Tw Cen MT" w:hAnsi="Tw Cen MT" w:cs="Arial"/>
          <w:color w:val="000000"/>
          <w:sz w:val="18"/>
          <w:szCs w:val="18"/>
        </w:rPr>
        <w:t>Le licencié qui reçoit un carton (noir ou rouge), se voit remettre par le juge-arbitre un formulaire exposant les procédures et sanctions auxquelles il s’est exposé selon le règlement disciplinaire fédéral (voir circulaire 3.3 guide du badminton).</w:t>
      </w:r>
    </w:p>
    <w:p w:rsidR="00F37A86" w:rsidRDefault="00F37A86" w:rsidP="00F37A86">
      <w:pPr>
        <w:pStyle w:val="SoustitreChapitre"/>
        <w:numPr>
          <w:ilvl w:val="1"/>
          <w:numId w:val="1"/>
        </w:numPr>
        <w:autoSpaceDE w:val="0"/>
        <w:autoSpaceDN w:val="0"/>
        <w:adjustRightInd w:val="0"/>
        <w:spacing w:after="0" w:line="240" w:lineRule="auto"/>
        <w:ind w:left="329" w:hanging="357"/>
        <w:contextualSpacing/>
        <w:jc w:val="both"/>
        <w:rPr>
          <w:rFonts w:ascii="Tw Cen MT" w:hAnsi="Tw Cen MT" w:cs="Arial"/>
          <w:color w:val="000000"/>
          <w:sz w:val="18"/>
          <w:szCs w:val="18"/>
        </w:rPr>
      </w:pPr>
      <w:r w:rsidRPr="00F37A86">
        <w:rPr>
          <w:rFonts w:ascii="Tw Cen MT" w:hAnsi="Tw Cen MT" w:cs="Arial"/>
          <w:color w:val="000000"/>
          <w:sz w:val="18"/>
          <w:szCs w:val="18"/>
        </w:rPr>
        <w:t>L'utilisation de substance et de tous moyens destinés à augmenter artificiellement le rendement en vue ou à l’occasion de compétitions et qui peut porter préjudice à l'éthique et à l’intégrité physique et psychique de l’athlète est prohibée. La liste des produits dopants est rendue officielle par le Ministère chargé des sports (extrait de l’article 10 du Règlement Médical du Guide du Badminton). Toute personne en possession d’une  ordonnance médicale indiquant la prise de médicaments dopant pour le sport devra le signaler au juge arbitre avant son premier match.</w:t>
      </w:r>
    </w:p>
    <w:p w:rsidR="00F37A86" w:rsidRDefault="00F37A86" w:rsidP="00F37A86">
      <w:pPr>
        <w:pStyle w:val="SoustitreChapitre"/>
        <w:numPr>
          <w:ilvl w:val="1"/>
          <w:numId w:val="1"/>
        </w:numPr>
        <w:autoSpaceDE w:val="0"/>
        <w:autoSpaceDN w:val="0"/>
        <w:adjustRightInd w:val="0"/>
        <w:spacing w:after="0" w:line="240" w:lineRule="auto"/>
        <w:ind w:left="329" w:hanging="357"/>
        <w:contextualSpacing/>
        <w:jc w:val="both"/>
        <w:rPr>
          <w:rFonts w:ascii="Tw Cen MT" w:hAnsi="Tw Cen MT" w:cs="Arial"/>
          <w:color w:val="000000"/>
          <w:sz w:val="18"/>
          <w:szCs w:val="18"/>
        </w:rPr>
      </w:pPr>
      <w:r w:rsidRPr="00F37A86">
        <w:rPr>
          <w:rFonts w:ascii="Tw Cen MT" w:hAnsi="Tw Cen MT" w:cs="Arial"/>
          <w:color w:val="000000"/>
          <w:sz w:val="18"/>
          <w:szCs w:val="18"/>
        </w:rPr>
        <w:t>Seul le représentant du club est autorisé à poser une réclamation auprès du juge arbitre.</w:t>
      </w:r>
    </w:p>
    <w:p w:rsidR="00F37A86" w:rsidRDefault="00F37A86" w:rsidP="00F37A86">
      <w:pPr>
        <w:pStyle w:val="SoustitreChapitre"/>
        <w:numPr>
          <w:ilvl w:val="1"/>
          <w:numId w:val="1"/>
        </w:numPr>
        <w:autoSpaceDE w:val="0"/>
        <w:autoSpaceDN w:val="0"/>
        <w:adjustRightInd w:val="0"/>
        <w:spacing w:after="0" w:line="240" w:lineRule="auto"/>
        <w:ind w:left="329" w:hanging="357"/>
        <w:contextualSpacing/>
        <w:jc w:val="both"/>
        <w:rPr>
          <w:rFonts w:ascii="Tw Cen MT" w:hAnsi="Tw Cen MT" w:cs="Arial"/>
          <w:color w:val="000000"/>
          <w:sz w:val="18"/>
          <w:szCs w:val="18"/>
        </w:rPr>
      </w:pPr>
      <w:r w:rsidRPr="00F37A86">
        <w:rPr>
          <w:rFonts w:ascii="Tw Cen MT" w:hAnsi="Tw Cen MT" w:cs="Arial"/>
          <w:color w:val="000000"/>
          <w:sz w:val="18"/>
          <w:szCs w:val="18"/>
        </w:rPr>
        <w:t>Le comité d'organisation décline toute responsabilité en cas de vol ou de perte durant la compétition.</w:t>
      </w:r>
    </w:p>
    <w:p w:rsidR="000C1189" w:rsidRDefault="00F37A86" w:rsidP="00F37A86">
      <w:pPr>
        <w:pStyle w:val="SoustitreChapitre"/>
        <w:numPr>
          <w:ilvl w:val="1"/>
          <w:numId w:val="1"/>
        </w:numPr>
        <w:autoSpaceDE w:val="0"/>
        <w:autoSpaceDN w:val="0"/>
        <w:adjustRightInd w:val="0"/>
        <w:spacing w:after="0" w:line="240" w:lineRule="auto"/>
        <w:ind w:left="329" w:hanging="357"/>
        <w:contextualSpacing/>
        <w:jc w:val="both"/>
        <w:rPr>
          <w:rFonts w:ascii="Tw Cen MT" w:hAnsi="Tw Cen MT" w:cs="Arial"/>
          <w:color w:val="000000"/>
          <w:sz w:val="18"/>
          <w:szCs w:val="18"/>
        </w:rPr>
      </w:pPr>
      <w:r w:rsidRPr="00F37A86">
        <w:rPr>
          <w:rFonts w:ascii="Tw Cen MT" w:hAnsi="Tw Cen MT" w:cs="Arial"/>
          <w:color w:val="000000"/>
          <w:sz w:val="18"/>
          <w:szCs w:val="18"/>
        </w:rPr>
        <w:t xml:space="preserve">Le présent règlement sera affiché dans la </w:t>
      </w:r>
    </w:p>
    <w:p w:rsidR="000C1189" w:rsidRDefault="00F37A86" w:rsidP="000C1189">
      <w:pPr>
        <w:pStyle w:val="SoustitreChapitre"/>
        <w:tabs>
          <w:tab w:val="clear" w:pos="1440"/>
        </w:tabs>
        <w:autoSpaceDE w:val="0"/>
        <w:autoSpaceDN w:val="0"/>
        <w:adjustRightInd w:val="0"/>
        <w:spacing w:after="0" w:line="240" w:lineRule="auto"/>
        <w:ind w:left="329" w:firstLine="0"/>
        <w:contextualSpacing/>
        <w:jc w:val="both"/>
        <w:rPr>
          <w:rFonts w:ascii="Tw Cen MT" w:hAnsi="Tw Cen MT" w:cs="Arial"/>
          <w:color w:val="000000"/>
          <w:sz w:val="18"/>
          <w:szCs w:val="18"/>
        </w:rPr>
      </w:pPr>
      <w:proofErr w:type="gramStart"/>
      <w:r w:rsidRPr="00F37A86">
        <w:rPr>
          <w:rFonts w:ascii="Tw Cen MT" w:hAnsi="Tw Cen MT" w:cs="Arial"/>
          <w:color w:val="000000"/>
          <w:sz w:val="18"/>
          <w:szCs w:val="18"/>
        </w:rPr>
        <w:t>salle</w:t>
      </w:r>
      <w:proofErr w:type="gramEnd"/>
      <w:r w:rsidRPr="00F37A86">
        <w:rPr>
          <w:rFonts w:ascii="Tw Cen MT" w:hAnsi="Tw Cen MT" w:cs="Arial"/>
          <w:color w:val="000000"/>
          <w:sz w:val="18"/>
          <w:szCs w:val="18"/>
        </w:rPr>
        <w:t xml:space="preserve"> le jour de la compétition. </w:t>
      </w:r>
    </w:p>
    <w:p w:rsidR="000C1189" w:rsidRDefault="00F37A86" w:rsidP="000C1189">
      <w:pPr>
        <w:pStyle w:val="SoustitreChapitre"/>
        <w:tabs>
          <w:tab w:val="clear" w:pos="1440"/>
        </w:tabs>
        <w:autoSpaceDE w:val="0"/>
        <w:autoSpaceDN w:val="0"/>
        <w:adjustRightInd w:val="0"/>
        <w:spacing w:after="0" w:line="240" w:lineRule="auto"/>
        <w:ind w:left="329" w:firstLine="0"/>
        <w:contextualSpacing/>
        <w:jc w:val="both"/>
        <w:rPr>
          <w:rFonts w:ascii="Tw Cen MT" w:hAnsi="Tw Cen MT" w:cs="Arial"/>
          <w:color w:val="000000"/>
          <w:sz w:val="18"/>
          <w:szCs w:val="18"/>
        </w:rPr>
      </w:pPr>
      <w:r w:rsidRPr="00F37A86">
        <w:rPr>
          <w:rFonts w:ascii="Tw Cen MT" w:hAnsi="Tw Cen MT" w:cs="Arial"/>
          <w:color w:val="000000"/>
          <w:sz w:val="18"/>
          <w:szCs w:val="18"/>
        </w:rPr>
        <w:t xml:space="preserve">Toute participation implique l’adoption </w:t>
      </w:r>
    </w:p>
    <w:p w:rsidR="00F37A86" w:rsidRPr="00F37A86" w:rsidRDefault="00F37A86" w:rsidP="000C1189">
      <w:pPr>
        <w:pStyle w:val="SoustitreChapitre"/>
        <w:tabs>
          <w:tab w:val="clear" w:pos="1440"/>
        </w:tabs>
        <w:autoSpaceDE w:val="0"/>
        <w:autoSpaceDN w:val="0"/>
        <w:adjustRightInd w:val="0"/>
        <w:spacing w:after="0" w:line="240" w:lineRule="auto"/>
        <w:ind w:left="329" w:firstLine="0"/>
        <w:contextualSpacing/>
        <w:jc w:val="both"/>
        <w:rPr>
          <w:rFonts w:ascii="Tw Cen MT" w:hAnsi="Tw Cen MT" w:cs="Arial"/>
          <w:color w:val="000000"/>
          <w:sz w:val="18"/>
          <w:szCs w:val="18"/>
        </w:rPr>
      </w:pPr>
      <w:r w:rsidRPr="00F37A86">
        <w:rPr>
          <w:rFonts w:ascii="Tw Cen MT" w:hAnsi="Tw Cen MT" w:cs="Arial"/>
          <w:color w:val="000000"/>
          <w:sz w:val="18"/>
          <w:szCs w:val="18"/>
        </w:rPr>
        <w:t>du présent règlement.</w:t>
      </w:r>
    </w:p>
    <w:p w:rsidR="00F37A86" w:rsidRPr="00F37A86" w:rsidRDefault="00F37A86" w:rsidP="00F37A86">
      <w:pPr>
        <w:pStyle w:val="SoustitreChapitre"/>
        <w:tabs>
          <w:tab w:val="clear" w:pos="1440"/>
        </w:tabs>
        <w:spacing w:after="0" w:line="240" w:lineRule="auto"/>
        <w:ind w:left="-28" w:firstLine="0"/>
        <w:contextualSpacing/>
        <w:jc w:val="both"/>
        <w:rPr>
          <w:rFonts w:ascii="Tw Cen MT" w:hAnsi="Tw Cen MT" w:cs="Arial"/>
          <w:sz w:val="18"/>
          <w:szCs w:val="18"/>
        </w:rPr>
      </w:pPr>
    </w:p>
    <w:p w:rsidR="00192137" w:rsidRPr="00192137" w:rsidRDefault="00192137" w:rsidP="00192137">
      <w:pPr>
        <w:contextualSpacing/>
        <w:jc w:val="both"/>
        <w:rPr>
          <w:rFonts w:ascii="Tw Cen MT" w:hAnsi="Tw Cen MT"/>
          <w:sz w:val="24"/>
          <w:szCs w:val="24"/>
        </w:rPr>
      </w:pPr>
    </w:p>
    <w:sectPr w:rsidR="00192137" w:rsidRPr="00192137" w:rsidSect="00192137">
      <w:headerReference w:type="default" r:id="rId10"/>
      <w:pgSz w:w="16838" w:h="11906" w:orient="landscape"/>
      <w:pgMar w:top="720" w:right="394" w:bottom="720" w:left="720" w:header="0"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418" w:rsidRDefault="00172418" w:rsidP="00661B80">
      <w:pPr>
        <w:spacing w:after="0" w:line="240" w:lineRule="auto"/>
      </w:pPr>
      <w:r>
        <w:separator/>
      </w:r>
    </w:p>
  </w:endnote>
  <w:endnote w:type="continuationSeparator" w:id="0">
    <w:p w:rsidR="00172418" w:rsidRDefault="00172418" w:rsidP="00661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418" w:rsidRDefault="00172418" w:rsidP="00661B80">
      <w:pPr>
        <w:spacing w:after="0" w:line="240" w:lineRule="auto"/>
      </w:pPr>
      <w:r>
        <w:separator/>
      </w:r>
    </w:p>
  </w:footnote>
  <w:footnote w:type="continuationSeparator" w:id="0">
    <w:p w:rsidR="00172418" w:rsidRDefault="00172418" w:rsidP="00661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14E" w:rsidRDefault="00BD714E">
    <w:pPr>
      <w:pStyle w:val="En-tte"/>
    </w:pPr>
    <w:r>
      <w:rPr>
        <w:noProof/>
        <w:lang w:eastAsia="fr-FR"/>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60000" cy="10709084"/>
          <wp:effectExtent l="19050" t="0" r="2850" b="0"/>
          <wp:wrapNone/>
          <wp:docPr id="4" name="Image 3" descr="fond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_portrait.JPG"/>
                  <pic:cNvPicPr/>
                </pic:nvPicPr>
                <pic:blipFill>
                  <a:blip r:embed="rId1"/>
                  <a:stretch>
                    <a:fillRect/>
                  </a:stretch>
                </pic:blipFill>
                <pic:spPr>
                  <a:xfrm>
                    <a:off x="0" y="0"/>
                    <a:ext cx="7560000" cy="10709084"/>
                  </a:xfrm>
                  <a:prstGeom prst="rect">
                    <a:avLst/>
                  </a:prstGeom>
                </pic:spPr>
              </pic:pic>
            </a:graphicData>
          </a:graphic>
        </wp:anchor>
      </w:drawing>
    </w:r>
  </w:p>
  <w:p w:rsidR="00661B80" w:rsidRDefault="00661B8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14E" w:rsidRDefault="00BD714E">
    <w:pPr>
      <w:pStyle w:val="En-tte"/>
    </w:pPr>
    <w:r>
      <w:rPr>
        <w:noProof/>
        <w:lang w:eastAsia="fr-FR"/>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10689055" cy="7555832"/>
          <wp:effectExtent l="19050" t="0" r="0" b="0"/>
          <wp:wrapNone/>
          <wp:docPr id="3" name="Image 2" descr="fond_pays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_paysage.jpg"/>
                  <pic:cNvPicPr/>
                </pic:nvPicPr>
                <pic:blipFill>
                  <a:blip r:embed="rId1"/>
                  <a:stretch>
                    <a:fillRect/>
                  </a:stretch>
                </pic:blipFill>
                <pic:spPr>
                  <a:xfrm>
                    <a:off x="0" y="0"/>
                    <a:ext cx="10689055" cy="7555832"/>
                  </a:xfrm>
                  <a:prstGeom prst="rect">
                    <a:avLst/>
                  </a:prstGeom>
                </pic:spPr>
              </pic:pic>
            </a:graphicData>
          </a:graphic>
        </wp:anchor>
      </w:drawing>
    </w:r>
  </w:p>
  <w:p w:rsidR="00BD714E" w:rsidRDefault="00BD714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57BA4"/>
    <w:multiLevelType w:val="hybridMultilevel"/>
    <w:tmpl w:val="91B2BDDA"/>
    <w:lvl w:ilvl="0" w:tplc="040C0001">
      <w:start w:val="1"/>
      <w:numFmt w:val="bullet"/>
      <w:lvlText w:val=""/>
      <w:lvlJc w:val="left"/>
      <w:pPr>
        <w:ind w:left="720" w:hanging="360"/>
      </w:pPr>
      <w:rPr>
        <w:rFonts w:ascii="Symbol" w:hAnsi="Symbol" w:hint="default"/>
      </w:rPr>
    </w:lvl>
    <w:lvl w:ilvl="1" w:tplc="040C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61B80"/>
    <w:rsid w:val="00051324"/>
    <w:rsid w:val="00072CF7"/>
    <w:rsid w:val="00077D55"/>
    <w:rsid w:val="00090353"/>
    <w:rsid w:val="000C1189"/>
    <w:rsid w:val="000E0651"/>
    <w:rsid w:val="00104D60"/>
    <w:rsid w:val="001151AD"/>
    <w:rsid w:val="00131762"/>
    <w:rsid w:val="00134E78"/>
    <w:rsid w:val="00157C9B"/>
    <w:rsid w:val="00161078"/>
    <w:rsid w:val="00163274"/>
    <w:rsid w:val="00172418"/>
    <w:rsid w:val="00192137"/>
    <w:rsid w:val="001A4DB9"/>
    <w:rsid w:val="002508E9"/>
    <w:rsid w:val="00252F73"/>
    <w:rsid w:val="002A208E"/>
    <w:rsid w:val="00307CFA"/>
    <w:rsid w:val="0039174E"/>
    <w:rsid w:val="003A07D9"/>
    <w:rsid w:val="003C4CE9"/>
    <w:rsid w:val="00473F9F"/>
    <w:rsid w:val="004C5C0A"/>
    <w:rsid w:val="004E27CF"/>
    <w:rsid w:val="00502304"/>
    <w:rsid w:val="00570813"/>
    <w:rsid w:val="005B15AF"/>
    <w:rsid w:val="00627217"/>
    <w:rsid w:val="00661B80"/>
    <w:rsid w:val="00686220"/>
    <w:rsid w:val="006D4B6A"/>
    <w:rsid w:val="006F26BD"/>
    <w:rsid w:val="007016C4"/>
    <w:rsid w:val="00705BC6"/>
    <w:rsid w:val="007410CB"/>
    <w:rsid w:val="00796583"/>
    <w:rsid w:val="007B5340"/>
    <w:rsid w:val="007C4EB4"/>
    <w:rsid w:val="007E2C2A"/>
    <w:rsid w:val="007F5D54"/>
    <w:rsid w:val="00831D32"/>
    <w:rsid w:val="00834485"/>
    <w:rsid w:val="009119EE"/>
    <w:rsid w:val="00917094"/>
    <w:rsid w:val="009611CE"/>
    <w:rsid w:val="009838DC"/>
    <w:rsid w:val="00993214"/>
    <w:rsid w:val="0099322A"/>
    <w:rsid w:val="00A02251"/>
    <w:rsid w:val="00A544A5"/>
    <w:rsid w:val="00A90669"/>
    <w:rsid w:val="00AB3FD0"/>
    <w:rsid w:val="00AD618A"/>
    <w:rsid w:val="00AD77A3"/>
    <w:rsid w:val="00AE3C18"/>
    <w:rsid w:val="00AE7436"/>
    <w:rsid w:val="00AF5EA5"/>
    <w:rsid w:val="00B36F64"/>
    <w:rsid w:val="00B56CE5"/>
    <w:rsid w:val="00B75676"/>
    <w:rsid w:val="00B93FBB"/>
    <w:rsid w:val="00BB424F"/>
    <w:rsid w:val="00BD39DA"/>
    <w:rsid w:val="00BD714E"/>
    <w:rsid w:val="00BF35F1"/>
    <w:rsid w:val="00C64A6C"/>
    <w:rsid w:val="00C766EF"/>
    <w:rsid w:val="00CA25D6"/>
    <w:rsid w:val="00CE68B0"/>
    <w:rsid w:val="00CE70F6"/>
    <w:rsid w:val="00D005E3"/>
    <w:rsid w:val="00D63683"/>
    <w:rsid w:val="00DC4DB5"/>
    <w:rsid w:val="00DE0544"/>
    <w:rsid w:val="00E12936"/>
    <w:rsid w:val="00E430B2"/>
    <w:rsid w:val="00E4633F"/>
    <w:rsid w:val="00E53D46"/>
    <w:rsid w:val="00EA4DD2"/>
    <w:rsid w:val="00EE1F01"/>
    <w:rsid w:val="00EE3DB9"/>
    <w:rsid w:val="00EF7381"/>
    <w:rsid w:val="00F37A86"/>
    <w:rsid w:val="00F505E3"/>
    <w:rsid w:val="00F929A3"/>
    <w:rsid w:val="00FA62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CE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61B80"/>
    <w:pPr>
      <w:tabs>
        <w:tab w:val="center" w:pos="4536"/>
        <w:tab w:val="right" w:pos="9072"/>
      </w:tabs>
      <w:spacing w:after="0" w:line="240" w:lineRule="auto"/>
    </w:pPr>
  </w:style>
  <w:style w:type="character" w:customStyle="1" w:styleId="En-tteCar">
    <w:name w:val="En-tête Car"/>
    <w:basedOn w:val="Policepardfaut"/>
    <w:link w:val="En-tte"/>
    <w:uiPriority w:val="99"/>
    <w:rsid w:val="00661B80"/>
  </w:style>
  <w:style w:type="paragraph" w:styleId="Pieddepage">
    <w:name w:val="footer"/>
    <w:basedOn w:val="Normal"/>
    <w:link w:val="PieddepageCar"/>
    <w:uiPriority w:val="99"/>
    <w:semiHidden/>
    <w:unhideWhenUsed/>
    <w:rsid w:val="00661B8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61B80"/>
  </w:style>
  <w:style w:type="paragraph" w:styleId="Textedebulles">
    <w:name w:val="Balloon Text"/>
    <w:basedOn w:val="Normal"/>
    <w:link w:val="TextedebullesCar"/>
    <w:uiPriority w:val="99"/>
    <w:semiHidden/>
    <w:unhideWhenUsed/>
    <w:rsid w:val="00661B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1B80"/>
    <w:rPr>
      <w:rFonts w:ascii="Tahoma" w:hAnsi="Tahoma" w:cs="Tahoma"/>
      <w:sz w:val="16"/>
      <w:szCs w:val="16"/>
    </w:rPr>
  </w:style>
  <w:style w:type="paragraph" w:styleId="Paragraphedeliste">
    <w:name w:val="List Paragraph"/>
    <w:basedOn w:val="Normal"/>
    <w:uiPriority w:val="34"/>
    <w:qFormat/>
    <w:rsid w:val="00661B80"/>
    <w:pPr>
      <w:ind w:left="720"/>
      <w:contextualSpacing/>
    </w:pPr>
  </w:style>
  <w:style w:type="paragraph" w:customStyle="1" w:styleId="SoustitreChapitre">
    <w:name w:val="Sous titre Chapitre"/>
    <w:basedOn w:val="Normal"/>
    <w:rsid w:val="00192137"/>
    <w:pPr>
      <w:tabs>
        <w:tab w:val="num" w:pos="1440"/>
      </w:tabs>
      <w:ind w:left="1440" w:hanging="360"/>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22875">
      <w:bodyDiv w:val="1"/>
      <w:marLeft w:val="0"/>
      <w:marRight w:val="0"/>
      <w:marTop w:val="0"/>
      <w:marBottom w:val="0"/>
      <w:divBdr>
        <w:top w:val="none" w:sz="0" w:space="0" w:color="auto"/>
        <w:left w:val="none" w:sz="0" w:space="0" w:color="auto"/>
        <w:bottom w:val="none" w:sz="0" w:space="0" w:color="auto"/>
        <w:right w:val="none" w:sz="0" w:space="0" w:color="auto"/>
      </w:divBdr>
    </w:div>
    <w:div w:id="1117913893">
      <w:bodyDiv w:val="1"/>
      <w:marLeft w:val="0"/>
      <w:marRight w:val="0"/>
      <w:marTop w:val="0"/>
      <w:marBottom w:val="0"/>
      <w:divBdr>
        <w:top w:val="none" w:sz="0" w:space="0" w:color="auto"/>
        <w:left w:val="none" w:sz="0" w:space="0" w:color="auto"/>
        <w:bottom w:val="none" w:sz="0" w:space="0" w:color="auto"/>
        <w:right w:val="none" w:sz="0" w:space="0" w:color="auto"/>
      </w:divBdr>
    </w:div>
    <w:div w:id="1473710515">
      <w:bodyDiv w:val="1"/>
      <w:marLeft w:val="0"/>
      <w:marRight w:val="0"/>
      <w:marTop w:val="0"/>
      <w:marBottom w:val="0"/>
      <w:divBdr>
        <w:top w:val="none" w:sz="0" w:space="0" w:color="auto"/>
        <w:left w:val="none" w:sz="0" w:space="0" w:color="auto"/>
        <w:bottom w:val="none" w:sz="0" w:space="0" w:color="auto"/>
        <w:right w:val="none" w:sz="0" w:space="0" w:color="auto"/>
      </w:divBdr>
    </w:div>
    <w:div w:id="172448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3</Pages>
  <Words>1226</Words>
  <Characters>6747</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dc:creator>
  <cp:lastModifiedBy>MARTIN Jean-Yves</cp:lastModifiedBy>
  <cp:revision>36</cp:revision>
  <cp:lastPrinted>2011-09-13T07:21:00Z</cp:lastPrinted>
  <dcterms:created xsi:type="dcterms:W3CDTF">2011-07-18T21:23:00Z</dcterms:created>
  <dcterms:modified xsi:type="dcterms:W3CDTF">2014-09-30T12:43:00Z</dcterms:modified>
</cp:coreProperties>
</file>